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28"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widowControl w:val="false"/>
              <w:rPr/>
            </w:pPr>
            <w:r>
              <w:rPr/>
              <w:drawing>
                <wp:inline distT="0" distB="0" distL="0" distR="0">
                  <wp:extent cx="3810000" cy="904875"/>
                  <wp:effectExtent l="0" t="0" r="0" b="0"/>
                  <wp:docPr id="1"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нсультант Плюс"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vAlign w:val="center"/>
          </w:tcPr>
          <w:p>
            <w:pPr>
              <w:pStyle w:val="ConsPlusTitlePage"/>
              <w:widowControl w:val="false"/>
              <w:jc w:val="center"/>
              <w:rPr/>
            </w:pPr>
            <w:r>
              <w:rPr>
                <w:sz w:val="48"/>
              </w:rPr>
              <w:t>Приказ Минобрнауки России от 06.08.2021 N 721</w:t>
              <w:br/>
              <w:t>"Об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w:t>
              <w:br/>
              <w:t>(Зарегистрировано в Минюсте России 03.09.2021 N 64879)</w:t>
            </w:r>
          </w:p>
        </w:tc>
      </w:tr>
      <w:tr>
        <w:trPr>
          <w:trHeight w:val="3031" w:hRule="exact"/>
        </w:trPr>
        <w:tc>
          <w:tcPr>
            <w:tcW w:w="10716" w:type="dxa"/>
            <w:tcBorders/>
            <w:vAlign w:val="center"/>
          </w:tcPr>
          <w:p>
            <w:pPr>
              <w:pStyle w:val="ConsPlusTitlePage"/>
              <w:widowControl w:val="false"/>
              <w:jc w:val="center"/>
              <w:rPr/>
            </w:pPr>
            <w:r>
              <w:rPr>
                <w:sz w:val="28"/>
              </w:rPr>
              <w:t xml:space="preserve">Документ предоставлен </w:t>
            </w:r>
            <w:hyperlink r:id="rId3" w:tgtFrame="Ссылка на КонсультантПлюс">
              <w:r>
                <w:rPr>
                  <w:b/>
                  <w:color w:val="0000FF"/>
                  <w:sz w:val="28"/>
                </w:rPr>
                <w:t>КонсультантПлюс</w:t>
                <w:br/>
                <w:br/>
              </w:r>
            </w:hyperlink>
            <w:hyperlink r:id="rId4" w:tgtFrame="Ссылка на КонсультантПлюс">
              <w:r>
                <w:rPr>
                  <w:b/>
                  <w:color w:val="0000FF"/>
                  <w:sz w:val="28"/>
                </w:rPr>
                <w:t>www.consultant.ru</w:t>
              </w:r>
            </w:hyperlink>
            <w:r>
              <w:rPr>
                <w:sz w:val="28"/>
              </w:rPr>
              <w:br/>
              <w:br/>
              <w:t>Дата сохранения: 13.09.2022</w:t>
              <w:br/>
            </w:r>
          </w:p>
        </w:tc>
      </w:tr>
    </w:tbl>
    <w:p>
      <w:pPr>
        <w:sectPr>
          <w:type w:val="nextPage"/>
          <w:pgSz w:w="11906" w:h="16838"/>
          <w:pgMar w:left="595" w:right="595" w:gutter="0" w:header="0" w:top="841" w:footer="0" w:bottom="841"/>
          <w:pgNumType w:fmt="decimal"/>
          <w:formProt w:val="false"/>
          <w:textDirection w:val="lrTb"/>
          <w:docGrid w:type="default" w:linePitch="100" w:charSpace="4096"/>
        </w:sectPr>
        <w:pStyle w:val="ConsPlusNormal"/>
        <w:rPr/>
      </w:pPr>
      <w:r>
        <w:rPr/>
      </w:r>
    </w:p>
    <w:p>
      <w:pPr>
        <w:pStyle w:val="ConsPlusNormal"/>
        <w:numPr>
          <w:ilvl w:val="0"/>
          <w:numId w:val="0"/>
        </w:numPr>
        <w:ind w:left="0" w:hanging="0"/>
        <w:jc w:val="both"/>
        <w:outlineLvl w:val="0"/>
        <w:rPr/>
      </w:pPr>
      <w:r>
        <w:rPr/>
      </w:r>
    </w:p>
    <w:p>
      <w:pPr>
        <w:pStyle w:val="ConsPlusNormal"/>
        <w:numPr>
          <w:ilvl w:val="0"/>
          <w:numId w:val="0"/>
        </w:numPr>
        <w:ind w:left="0" w:hanging="0"/>
        <w:outlineLvl w:val="0"/>
        <w:rPr/>
      </w:pPr>
      <w:r>
        <w:rPr>
          <w:sz w:val="20"/>
        </w:rPr>
        <w:t>Зарегистрировано в Минюсте России 3 сентября 2021 г. N 64879</w:t>
      </w:r>
    </w:p>
    <w:p>
      <w:pPr>
        <w:pStyle w:val="ConsPlusNormal"/>
        <w:pBdr>
          <w:bottom w:val="single" w:sz="6" w:space="0" w:color="000000"/>
        </w:pBdr>
        <w:spacing w:before="100" w:after="100"/>
        <w:jc w:val="both"/>
        <w:rPr>
          <w:sz w:val="2"/>
          <w:szCs w:val="2"/>
        </w:rPr>
      </w:pPr>
      <w:r>
        <w:rPr>
          <w:sz w:val="2"/>
          <w:szCs w:val="2"/>
        </w:rPr>
      </w:r>
    </w:p>
    <w:p>
      <w:pPr>
        <w:pStyle w:val="ConsPlusNormal"/>
        <w:rPr/>
      </w:pPr>
      <w:r>
        <w:rPr/>
      </w:r>
    </w:p>
    <w:p>
      <w:pPr>
        <w:pStyle w:val="ConsPlusTitle"/>
        <w:jc w:val="center"/>
        <w:rPr/>
      </w:pPr>
      <w:r>
        <w:rPr>
          <w:sz w:val="20"/>
        </w:rPr>
        <w:t>МИНИСТЕРСТВО НАУКИ И ВЫСШЕГО ОБРАЗОВАНИЯ</w:t>
      </w:r>
    </w:p>
    <w:p>
      <w:pPr>
        <w:pStyle w:val="ConsPlusTitle"/>
        <w:jc w:val="center"/>
        <w:rPr/>
      </w:pPr>
      <w:r>
        <w:rPr>
          <w:sz w:val="20"/>
        </w:rPr>
        <w:t>РОССИЙСКОЙ ФЕДЕРАЦИИ</w:t>
      </w:r>
    </w:p>
    <w:p>
      <w:pPr>
        <w:pStyle w:val="ConsPlusTitle"/>
        <w:jc w:val="center"/>
        <w:rPr/>
      </w:pPr>
      <w:r>
        <w:rPr/>
      </w:r>
    </w:p>
    <w:p>
      <w:pPr>
        <w:pStyle w:val="ConsPlusTitle"/>
        <w:jc w:val="center"/>
        <w:rPr/>
      </w:pPr>
      <w:r>
        <w:rPr>
          <w:sz w:val="20"/>
        </w:rPr>
        <w:t>ПРИКАЗ</w:t>
      </w:r>
    </w:p>
    <w:p>
      <w:pPr>
        <w:pStyle w:val="ConsPlusTitle"/>
        <w:jc w:val="center"/>
        <w:rPr/>
      </w:pPr>
      <w:r>
        <w:rPr>
          <w:sz w:val="20"/>
        </w:rPr>
        <w:t>от 6 августа 2021 г. N 721</w:t>
      </w:r>
    </w:p>
    <w:p>
      <w:pPr>
        <w:pStyle w:val="ConsPlusTitle"/>
        <w:jc w:val="center"/>
        <w:rPr/>
      </w:pPr>
      <w:r>
        <w:rPr/>
      </w:r>
    </w:p>
    <w:p>
      <w:pPr>
        <w:pStyle w:val="ConsPlusTitle"/>
        <w:jc w:val="center"/>
        <w:rPr/>
      </w:pPr>
      <w:r>
        <w:rPr>
          <w:sz w:val="20"/>
        </w:rPr>
        <w:t>ОБ УТВЕРЖДЕНИИ ПОРЯДКА</w:t>
      </w:r>
    </w:p>
    <w:p>
      <w:pPr>
        <w:pStyle w:val="ConsPlusTitle"/>
        <w:jc w:val="center"/>
        <w:rPr/>
      </w:pPr>
      <w:r>
        <w:rPr>
          <w:sz w:val="20"/>
        </w:rPr>
        <w:t>ПРИЕМА НА ОБУЧЕНИЕ ПО ОБРАЗОВАТЕЛЬНЫМ ПРОГРАММАМ</w:t>
      </w:r>
    </w:p>
    <w:p>
      <w:pPr>
        <w:pStyle w:val="ConsPlusTitle"/>
        <w:jc w:val="center"/>
        <w:rPr/>
      </w:pPr>
      <w:r>
        <w:rPr>
          <w:sz w:val="20"/>
        </w:rPr>
        <w:t>ВЫСШЕГО ОБРАЗОВАНИЯ - ПРОГРАММАМ ПОДГОТОВКИ НАУЧНЫХ</w:t>
      </w:r>
    </w:p>
    <w:p>
      <w:pPr>
        <w:pStyle w:val="ConsPlusTitle"/>
        <w:jc w:val="center"/>
        <w:rPr/>
      </w:pPr>
      <w:r>
        <w:rPr>
          <w:sz w:val="20"/>
        </w:rPr>
        <w:t>И НАУЧНО-ПЕДАГОГИЧЕСКИХ КАДРОВ В АСПИРАНТУРЕ</w:t>
      </w:r>
    </w:p>
    <w:p>
      <w:pPr>
        <w:pStyle w:val="ConsPlusNormal"/>
        <w:jc w:val="center"/>
        <w:rPr/>
      </w:pPr>
      <w:r>
        <w:rPr/>
      </w:r>
    </w:p>
    <w:p>
      <w:pPr>
        <w:pStyle w:val="ConsPlusNormal"/>
        <w:ind w:firstLine="540"/>
        <w:jc w:val="both"/>
        <w:rPr/>
      </w:pPr>
      <w:r>
        <w:rPr>
          <w:sz w:val="20"/>
        </w:rPr>
        <w:t xml:space="preserve">В соответствии с </w:t>
      </w:r>
      <w:hyperlink r:id="rId5" w:tgtFrame="Федеральный закон от 29.12.2012 N 273-ФЗ (ред. от 14.07.2022) Об образовании в Российской Федерации">
        <w:r>
          <w:rPr>
            <w:color w:val="0000FF"/>
            <w:sz w:val="20"/>
          </w:rPr>
          <w:t>частью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13, ст. 2137) и </w:t>
      </w:r>
      <w:hyperlink r:id="rId6" w:tgtFrame="Постановление Правительства РФ от 15.06.2018 N 682 (ред. от 01.04.2022) 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
        <w:r>
          <w:rPr>
            <w:color w:val="0000FF"/>
            <w:sz w:val="20"/>
          </w:rPr>
          <w:t>подпунктом 4.2.31 пункта 4</w:t>
        </w:r>
      </w:hyperlink>
      <w:r>
        <w:rPr>
          <w:sz w:val="20"/>
        </w:rP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приказываю:</w:t>
      </w:r>
    </w:p>
    <w:p>
      <w:pPr>
        <w:pStyle w:val="ConsPlusNormal"/>
        <w:spacing w:before="200" w:after="0"/>
        <w:ind w:firstLine="540"/>
        <w:jc w:val="both"/>
        <w:rPr/>
      </w:pPr>
      <w:r>
        <w:rPr>
          <w:sz w:val="20"/>
        </w:rPr>
        <w:t xml:space="preserve">1. Утвердить прилагаемый </w:t>
      </w:r>
      <w:hyperlink w:anchor="P42" w:tgtFrame="ПОРЯДОК">
        <w:r>
          <w:rPr>
            <w:color w:val="0000FF"/>
            <w:sz w:val="20"/>
          </w:rPr>
          <w:t>Порядок</w:t>
        </w:r>
      </w:hyperlink>
      <w:r>
        <w:rPr>
          <w:sz w:val="20"/>
        </w:rPr>
        <w:t xml:space="preserve">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w:t>
      </w:r>
    </w:p>
    <w:p>
      <w:pPr>
        <w:pStyle w:val="ConsPlusNormal"/>
        <w:spacing w:before="200" w:after="0"/>
        <w:ind w:firstLine="540"/>
        <w:jc w:val="both"/>
        <w:rPr/>
      </w:pPr>
      <w:r>
        <w:rPr>
          <w:sz w:val="20"/>
        </w:rPr>
        <w:t xml:space="preserve">2. Установить, что </w:t>
      </w:r>
      <w:hyperlink w:anchor="P42" w:tgtFrame="ПОРЯДОК">
        <w:r>
          <w:rPr>
            <w:color w:val="0000FF"/>
            <w:sz w:val="20"/>
          </w:rPr>
          <w:t>Порядок</w:t>
        </w:r>
      </w:hyperlink>
      <w:r>
        <w:rPr>
          <w:sz w:val="20"/>
        </w:rPr>
        <w:t xml:space="preserve"> применяется при приеме на обучение по образовательным программам высшего образования - программам подготовки научных и научно-педагогических кадров в аспирантуре начиная с 2022/23 учебного года.</w:t>
      </w:r>
    </w:p>
    <w:p>
      <w:pPr>
        <w:pStyle w:val="ConsPlusNormal"/>
        <w:spacing w:before="200" w:after="0"/>
        <w:ind w:firstLine="540"/>
        <w:jc w:val="both"/>
        <w:rPr/>
      </w:pPr>
      <w:r>
        <w:rPr>
          <w:sz w:val="20"/>
        </w:rPr>
        <w:t>3. Признать утратившими силу начиная с 2022/23 учебного года:</w:t>
      </w:r>
    </w:p>
    <w:p>
      <w:pPr>
        <w:pStyle w:val="ConsPlusNormal"/>
        <w:spacing w:before="200" w:after="0"/>
        <w:ind w:firstLine="540"/>
        <w:jc w:val="both"/>
        <w:rPr/>
      </w:pPr>
      <w:r>
        <w:rPr>
          <w:sz w:val="20"/>
        </w:rPr>
        <w:t>1) приказы Министерства образования и науки Российской Федерации:</w:t>
      </w:r>
    </w:p>
    <w:p>
      <w:pPr>
        <w:pStyle w:val="ConsPlusNormal"/>
        <w:spacing w:before="200" w:after="0"/>
        <w:ind w:firstLine="540"/>
        <w:jc w:val="both"/>
        <w:rPr/>
      </w:pPr>
      <w:r>
        <w:rPr>
          <w:sz w:val="20"/>
        </w:rPr>
        <w:t xml:space="preserve">от 12 января 2017 г. </w:t>
      </w:r>
      <w:hyperlink r:id="rId7" w:tgtFrame="Приказ Минобрнауки России от 12.01.2017 N 13 (ред. от 21.08.2020, с изм. от 01.04.2021)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w:r>
          <w:rPr>
            <w:color w:val="0000FF"/>
            <w:sz w:val="20"/>
          </w:rPr>
          <w:t>N 13</w:t>
        </w:r>
      </w:hyperlink>
      <w:r>
        <w:rPr>
          <w:sz w:val="20"/>
        </w:rPr>
        <w:t xml:space="preserve">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 (зарегистрирован Министерством юстиции Российской Федерации 3 марта 2017 г., регистрационный N 45843);</w:t>
      </w:r>
    </w:p>
    <w:p>
      <w:pPr>
        <w:pStyle w:val="ConsPlusNormal"/>
        <w:spacing w:before="200" w:after="0"/>
        <w:ind w:firstLine="540"/>
        <w:jc w:val="both"/>
        <w:rPr/>
      </w:pPr>
      <w:r>
        <w:rPr>
          <w:sz w:val="20"/>
        </w:rPr>
        <w:t xml:space="preserve">от 11 января 2018 г. </w:t>
      </w:r>
      <w:hyperlink r:id="rId8" w:tgtFrame="Приказ Минобрнауки России от 11.01.2018 N 23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w:r>
          <w:rPr>
            <w:color w:val="0000FF"/>
            <w:sz w:val="20"/>
          </w:rPr>
          <w:t>N 23</w:t>
        </w:r>
      </w:hyperlink>
      <w:r>
        <w:rPr>
          <w:sz w:val="20"/>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 февраля 2018 г., регистрационный N 49857);</w:t>
      </w:r>
    </w:p>
    <w:p>
      <w:pPr>
        <w:pStyle w:val="ConsPlusNormal"/>
        <w:spacing w:before="200" w:after="0"/>
        <w:ind w:firstLine="540"/>
        <w:jc w:val="both"/>
        <w:rPr/>
      </w:pPr>
      <w:r>
        <w:rPr>
          <w:sz w:val="20"/>
        </w:rPr>
        <w:t>2) приказы Министерства науки и высшего образования Российской Федерации:</w:t>
      </w:r>
    </w:p>
    <w:p>
      <w:pPr>
        <w:pStyle w:val="ConsPlusNormal"/>
        <w:spacing w:before="200" w:after="0"/>
        <w:ind w:firstLine="540"/>
        <w:jc w:val="both"/>
        <w:rPr/>
      </w:pPr>
      <w:r>
        <w:rPr>
          <w:sz w:val="20"/>
        </w:rPr>
        <w:t xml:space="preserve">от 17 декабря 2018 г. </w:t>
      </w:r>
      <w:hyperlink r:id="rId9" w:tgtFrame="Приказ Минобрнауки России от 17.12.2018 N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w:r>
          <w:rPr>
            <w:color w:val="0000FF"/>
            <w:sz w:val="20"/>
          </w:rPr>
          <w:t>N 82н</w:t>
        </w:r>
      </w:hyperlink>
      <w:r>
        <w:rPr>
          <w:sz w:val="20"/>
        </w:rPr>
        <w:t xml:space="preserve">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12 января 2017 г. N 13" (зарегистрирован Министерством юстиции Российской Федерации 18 января 2019 г., регистрационный N 53439);</w:t>
      </w:r>
    </w:p>
    <w:p>
      <w:pPr>
        <w:pStyle w:val="ConsPlusNormal"/>
        <w:spacing w:before="200" w:after="0"/>
        <w:ind w:firstLine="540"/>
        <w:jc w:val="both"/>
        <w:rPr/>
      </w:pPr>
      <w:r>
        <w:rPr>
          <w:sz w:val="20"/>
        </w:rPr>
        <w:t xml:space="preserve">от 21 августа 2020 г. </w:t>
      </w:r>
      <w:hyperlink r:id="rId10" w:tgtFrame="Приказ Минобрнауки России от 21.08.2020 N 1079 О внесении изменения в пункт 7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w:r>
          <w:rPr>
            <w:color w:val="0000FF"/>
            <w:sz w:val="20"/>
          </w:rPr>
          <w:t>N 1079</w:t>
        </w:r>
      </w:hyperlink>
      <w:r>
        <w:rPr>
          <w:sz w:val="20"/>
        </w:rPr>
        <w:t xml:space="preserve"> "О внесении изменения в пункт 74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Министерства образования и науки Российской Федерации от 12 января 2017 г. N 13" (зарегистрирован Министерством юстиции Российской Федерации 1 сентября 2020 г., регистрационный N 59607).</w:t>
      </w:r>
    </w:p>
    <w:p>
      <w:pPr>
        <w:pStyle w:val="ConsPlusNormal"/>
        <w:spacing w:before="200" w:after="0"/>
        <w:ind w:firstLine="540"/>
        <w:jc w:val="both"/>
        <w:rPr/>
      </w:pPr>
      <w:r>
        <w:rPr>
          <w:sz w:val="20"/>
        </w:rPr>
        <w:t>4. Настоящий приказ вступает в силу с 1 марта 2022 года и действует до 1 марта 2028 года.</w:t>
      </w:r>
    </w:p>
    <w:p>
      <w:pPr>
        <w:pStyle w:val="ConsPlusNormal"/>
        <w:ind w:firstLine="540"/>
        <w:jc w:val="both"/>
        <w:rPr/>
      </w:pPr>
      <w:r>
        <w:rPr/>
      </w:r>
    </w:p>
    <w:p>
      <w:pPr>
        <w:pStyle w:val="ConsPlusNormal"/>
        <w:jc w:val="right"/>
        <w:rPr/>
      </w:pPr>
      <w:r>
        <w:rPr>
          <w:sz w:val="20"/>
        </w:rPr>
        <w:t>Врио Министра</w:t>
      </w:r>
    </w:p>
    <w:p>
      <w:pPr>
        <w:pStyle w:val="ConsPlusNormal"/>
        <w:jc w:val="right"/>
        <w:rPr/>
      </w:pPr>
      <w:r>
        <w:rPr>
          <w:sz w:val="20"/>
        </w:rPr>
        <w:t>А.В.НАРУКАВНИКОВ</w:t>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numPr>
          <w:ilvl w:val="0"/>
          <w:numId w:val="0"/>
        </w:numPr>
        <w:ind w:left="0" w:hanging="0"/>
        <w:jc w:val="right"/>
        <w:outlineLvl w:val="0"/>
        <w:rPr/>
      </w:pPr>
      <w:r>
        <w:rPr>
          <w:sz w:val="20"/>
        </w:rPr>
        <w:t>Приложение</w:t>
      </w:r>
    </w:p>
    <w:p>
      <w:pPr>
        <w:pStyle w:val="ConsPlusNormal"/>
        <w:jc w:val="right"/>
        <w:rPr/>
      </w:pPr>
      <w:r>
        <w:rPr/>
      </w:r>
    </w:p>
    <w:p>
      <w:pPr>
        <w:pStyle w:val="ConsPlusNormal"/>
        <w:jc w:val="right"/>
        <w:rPr/>
      </w:pPr>
      <w:r>
        <w:rPr>
          <w:sz w:val="20"/>
        </w:rPr>
        <w:t>Утвержден</w:t>
      </w:r>
    </w:p>
    <w:p>
      <w:pPr>
        <w:pStyle w:val="ConsPlusNormal"/>
        <w:jc w:val="right"/>
        <w:rPr/>
      </w:pPr>
      <w:r>
        <w:rPr>
          <w:sz w:val="20"/>
        </w:rPr>
        <w:t>приказом Министерства науки</w:t>
      </w:r>
    </w:p>
    <w:p>
      <w:pPr>
        <w:pStyle w:val="ConsPlusNormal"/>
        <w:jc w:val="right"/>
        <w:rPr/>
      </w:pPr>
      <w:r>
        <w:rPr>
          <w:sz w:val="20"/>
        </w:rPr>
        <w:t>и высшего образования</w:t>
      </w:r>
    </w:p>
    <w:p>
      <w:pPr>
        <w:pStyle w:val="ConsPlusNormal"/>
        <w:jc w:val="right"/>
        <w:rPr/>
      </w:pPr>
      <w:r>
        <w:rPr>
          <w:sz w:val="20"/>
        </w:rPr>
        <w:t>Российской Федерации</w:t>
      </w:r>
    </w:p>
    <w:p>
      <w:pPr>
        <w:pStyle w:val="ConsPlusNormal"/>
        <w:jc w:val="right"/>
        <w:rPr/>
      </w:pPr>
      <w:r>
        <w:rPr>
          <w:sz w:val="20"/>
        </w:rPr>
        <w:t>от 6 августа 2021 г. N 721</w:t>
      </w:r>
    </w:p>
    <w:p>
      <w:pPr>
        <w:pStyle w:val="ConsPlusNormal"/>
        <w:jc w:val="right"/>
        <w:rPr/>
      </w:pPr>
      <w:r>
        <w:rPr/>
      </w:r>
      <w:bookmarkStart w:id="0" w:name="P42"/>
      <w:bookmarkStart w:id="1" w:name="P42"/>
      <w:bookmarkEnd w:id="1"/>
    </w:p>
    <w:p>
      <w:pPr>
        <w:pStyle w:val="ConsPlusTitle"/>
        <w:jc w:val="center"/>
        <w:rPr/>
      </w:pPr>
      <w:r>
        <w:rPr>
          <w:sz w:val="20"/>
        </w:rPr>
        <w:t>ПОРЯДОК</w:t>
      </w:r>
    </w:p>
    <w:p>
      <w:pPr>
        <w:pStyle w:val="ConsPlusTitle"/>
        <w:jc w:val="center"/>
        <w:rPr/>
      </w:pPr>
      <w:r>
        <w:rPr>
          <w:sz w:val="20"/>
        </w:rPr>
        <w:t>ПРИЕМА НА ОБУЧЕНИЕ ПО ОБРАЗОВАТЕЛЬНЫМ ПРОГРАММАМ</w:t>
      </w:r>
    </w:p>
    <w:p>
      <w:pPr>
        <w:pStyle w:val="ConsPlusTitle"/>
        <w:jc w:val="center"/>
        <w:rPr/>
      </w:pPr>
      <w:r>
        <w:rPr>
          <w:sz w:val="20"/>
        </w:rPr>
        <w:t>ВЫСШЕГО ОБРАЗОВАНИЯ - ПРОГРАММАМ ПОДГОТОВКИ НАУЧНЫХ</w:t>
      </w:r>
    </w:p>
    <w:p>
      <w:pPr>
        <w:pStyle w:val="ConsPlusTitle"/>
        <w:jc w:val="center"/>
        <w:rPr/>
      </w:pPr>
      <w:r>
        <w:rPr>
          <w:sz w:val="20"/>
        </w:rPr>
        <w:t>И НАУЧНО-ПЕДАГОГИЧЕСКИХ КАДРОВ В АСПИРАНТУРЕ</w:t>
      </w:r>
    </w:p>
    <w:p>
      <w:pPr>
        <w:pStyle w:val="ConsPlusNormal"/>
        <w:jc w:val="center"/>
        <w:rPr/>
      </w:pPr>
      <w:r>
        <w:rPr/>
      </w:r>
    </w:p>
    <w:p>
      <w:pPr>
        <w:pStyle w:val="ConsPlusTitle"/>
        <w:numPr>
          <w:ilvl w:val="0"/>
          <w:numId w:val="0"/>
        </w:numPr>
        <w:ind w:left="0" w:hanging="0"/>
        <w:jc w:val="center"/>
        <w:outlineLvl w:val="1"/>
        <w:rPr/>
      </w:pPr>
      <w:r>
        <w:rPr>
          <w:sz w:val="20"/>
        </w:rPr>
        <w:t>I. Общие положения</w:t>
      </w:r>
    </w:p>
    <w:p>
      <w:pPr>
        <w:pStyle w:val="ConsPlusNormal"/>
        <w:jc w:val="center"/>
        <w:rPr/>
      </w:pPr>
      <w:r>
        <w:rPr/>
      </w:r>
    </w:p>
    <w:p>
      <w:pPr>
        <w:pStyle w:val="ConsPlusNormal"/>
        <w:ind w:firstLine="540"/>
        <w:jc w:val="both"/>
        <w:rPr/>
      </w:pPr>
      <w:r>
        <w:rPr>
          <w:sz w:val="20"/>
        </w:rPr>
        <w:t>1. Настоящий Порядок приема на обучение по образовательным программам высшего образования - программам подготовки научных и научно-педагогических кадров в аспирантуре (далее - Порядок) регламентирует прием граждан Российской Федерации, иностранных граждан и лиц без гражданства (далее - поступающие) в организации, осуществляющие образовательную деятельность, на обучение по образовательным программам высшего образования - программам подготовки научных и научно-педагогических кадров в аспирантуре (далее соответственно - организации, программы аспирантуры), в том числе особенности проведения вступительных испытаний для инвалидов.</w:t>
      </w:r>
    </w:p>
    <w:p>
      <w:pPr>
        <w:pStyle w:val="ConsPlusNormal"/>
        <w:spacing w:before="200" w:after="0"/>
        <w:ind w:firstLine="540"/>
        <w:jc w:val="both"/>
        <w:rPr/>
      </w:pPr>
      <w:r>
        <w:rPr>
          <w:sz w:val="20"/>
        </w:rPr>
        <w:t>2. Организация объявляет прием на обучение по программам аспирантуры (далее - прием на обучение) при наличии лицензии на осуществление образовательной деятельности, если иное не установлено федеральными законами.</w:t>
      </w:r>
    </w:p>
    <w:p>
      <w:pPr>
        <w:pStyle w:val="ConsPlusNormal"/>
        <w:spacing w:before="200" w:after="0"/>
        <w:ind w:firstLine="540"/>
        <w:jc w:val="both"/>
        <w:rPr/>
      </w:pPr>
      <w:r>
        <w:rPr>
          <w:sz w:val="20"/>
        </w:rP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1" w:tgtFrame="Федеральный закон от 29.12.2012 N 273-ФЗ (ред. от 14.07.2022) Об образовании в Российской Федерации">
        <w:r>
          <w:rPr>
            <w:color w:val="0000FF"/>
            <w:sz w:val="20"/>
          </w:rPr>
          <w:t>части 1 статьи 81</w:t>
        </w:r>
      </w:hyperlink>
      <w:r>
        <w:rPr>
          <w:sz w:val="20"/>
        </w:rP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&lt;1&gt; </w:t>
      </w:r>
      <w:hyperlink r:id="rId12" w:tgtFrame="Федеральный закон от 29.12.2012 N 273-ФЗ (ред. от 14.07.2022) Об образовании в Российской Федерации">
        <w:r>
          <w:rPr>
            <w:color w:val="0000FF"/>
            <w:sz w:val="20"/>
          </w:rPr>
          <w:t>Пункт 1 части 10 статьи 81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ConsPlusNormal"/>
        <w:jc w:val="center"/>
        <w:rPr/>
      </w:pPr>
      <w:r>
        <w:rPr/>
      </w:r>
      <w:bookmarkStart w:id="2" w:name="P55"/>
      <w:bookmarkStart w:id="3" w:name="P55"/>
      <w:bookmarkEnd w:id="3"/>
    </w:p>
    <w:p>
      <w:pPr>
        <w:pStyle w:val="ConsPlusNormal"/>
        <w:ind w:firstLine="540"/>
        <w:jc w:val="both"/>
        <w:rPr/>
      </w:pPr>
      <w:r>
        <w:rPr>
          <w:sz w:val="20"/>
        </w:rPr>
        <w:t>4. К освоению программ аспирантуры допускаются лица, имеющие образование не ниже высшего (специалитет или магистратура) &lt;2&gt;.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&lt;2&gt; </w:t>
      </w:r>
      <w:hyperlink r:id="rId13" w:tgtFrame="Федеральный закон от 29.12.2012 N 273-ФЗ (ред. от 14.07.2022) Об образовании в Российской Федерации">
        <w:r>
          <w:rPr>
            <w:color w:val="0000FF"/>
            <w:sz w:val="20"/>
          </w:rPr>
          <w:t>Часть 4 статьи 69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pPr>
        <w:pStyle w:val="ConsPlusNormal"/>
        <w:ind w:firstLine="540"/>
        <w:jc w:val="both"/>
        <w:rPr/>
      </w:pPr>
      <w:r>
        <w:rPr/>
      </w:r>
    </w:p>
    <w:p>
      <w:pPr>
        <w:pStyle w:val="ConsPlusNormal"/>
        <w:ind w:firstLine="540"/>
        <w:jc w:val="both"/>
        <w:rPr/>
      </w:pPr>
      <w:r>
        <w:rPr>
          <w:sz w:val="20"/>
        </w:rPr>
        <w:t>Поступающий представляет документ об образовании и о квалификации, удостоверяющий образование соответствующего уровня (далее - документ установленного образца):</w:t>
      </w:r>
    </w:p>
    <w:p>
      <w:pPr>
        <w:pStyle w:val="ConsPlusNormal"/>
        <w:spacing w:before="200" w:after="0"/>
        <w:ind w:firstLine="540"/>
        <w:jc w:val="both"/>
        <w:rPr/>
      </w:pPr>
      <w:r>
        <w:rPr>
          <w:sz w:val="20"/>
        </w:rPr>
        <w:t>документ об образовании и о квалификации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образца &lt;3&gt;;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&lt;3&gt; </w:t>
      </w:r>
      <w:hyperlink r:id="rId14" w:tgtFrame="Федеральный закон от 29.12.2012 N 273-ФЗ (ред. от 14.07.2022) Об образовании в Российской Федерации">
        <w:r>
          <w:rPr>
            <w:color w:val="0000FF"/>
            <w:sz w:val="20"/>
          </w:rPr>
          <w:t>Часть 4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pPr>
        <w:pStyle w:val="ConsPlusNormal"/>
        <w:ind w:firstLine="540"/>
        <w:jc w:val="both"/>
        <w:rPr/>
      </w:pPr>
      <w:r>
        <w:rPr/>
      </w:r>
    </w:p>
    <w:p>
      <w:pPr>
        <w:pStyle w:val="ConsPlusNormal"/>
        <w:ind w:firstLine="540"/>
        <w:jc w:val="both"/>
        <w:rPr/>
      </w:pPr>
      <w:r>
        <w:rPr>
          <w:sz w:val="20"/>
        </w:rPr>
        <w:t>документ государственного образца об уровне образования и о квалификации, полученный до 1 января 2014 г.;</w:t>
      </w:r>
    </w:p>
    <w:p>
      <w:pPr>
        <w:pStyle w:val="ConsPlusNormal"/>
        <w:spacing w:before="200" w:after="0"/>
        <w:ind w:firstLine="540"/>
        <w:jc w:val="both"/>
        <w:rPr/>
      </w:pPr>
      <w:r>
        <w:rPr>
          <w:sz w:val="20"/>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&lt;4&gt;;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&lt;4&gt; </w:t>
      </w:r>
      <w:hyperlink r:id="rId15" w:tgtFrame="Федеральный закон от 29.12.2012 N 273-ФЗ (ред. от 14.07.2022) Об образовании в Российской Федерации">
        <w:r>
          <w:rPr>
            <w:color w:val="0000FF"/>
            <w:sz w:val="20"/>
          </w:rPr>
          <w:t>Часть 5 статьи 60</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16" w:tgtFrame="Федеральный закон от 10.11.2009 N 259-ФЗ (ред. от 02.07.2021) О Московском государственном университете имени М.В. Ломоносова и Санкт-Петербургском государственном университете">
        <w:r>
          <w:rPr>
            <w:color w:val="0000FF"/>
            <w:sz w:val="20"/>
          </w:rPr>
          <w:t>часть 5 статьи 4</w:t>
        </w:r>
      </w:hyperlink>
      <w:r>
        <w:rPr>
          <w:sz w:val="20"/>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pPr>
        <w:pStyle w:val="ConsPlusNormal"/>
        <w:ind w:firstLine="540"/>
        <w:jc w:val="both"/>
        <w:rPr/>
      </w:pPr>
      <w:r>
        <w:rPr/>
      </w:r>
    </w:p>
    <w:p>
      <w:pPr>
        <w:pStyle w:val="ConsPlusNormal"/>
        <w:ind w:firstLine="540"/>
        <w:jc w:val="both"/>
        <w:rPr/>
      </w:pPr>
      <w:r>
        <w:rPr>
          <w:sz w:val="20"/>
        </w:rP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17" w:tgtFrame="Федеральный закон от 29.07.2017 N 216-ФЗ (ред. от 02.07.2021) Об инновационных научно-технологических центрах и о внесении изменений в отдельные законодательные акты Российской Федерации">
        <w:r>
          <w:rPr>
            <w:color w:val="0000FF"/>
            <w:sz w:val="20"/>
          </w:rPr>
          <w:t>частью 3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&lt;5&gt;;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&lt;5&gt; </w:t>
      </w:r>
      <w:hyperlink r:id="rId18" w:tgtFrame="Федеральный закон от 28.09.2010 N 244-ФЗ (ред. от 02.07.2021) Об инновационном центре Сколково">
        <w:r>
          <w:rPr>
            <w:color w:val="0000FF"/>
            <w:sz w:val="20"/>
          </w:rPr>
          <w:t>Часть 2 статьи 17</w:t>
        </w:r>
      </w:hyperlink>
      <w:r>
        <w:rPr>
          <w:sz w:val="20"/>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2013, N 27, ст. 3477), </w:t>
      </w:r>
      <w:hyperlink r:id="rId19" w:tgtFrame="Федеральный закон от 28.09.2010 N 244-ФЗ (ред. от 02.07.2021) Об инновационном центре Сколково">
        <w:r>
          <w:rPr>
            <w:color w:val="0000FF"/>
            <w:sz w:val="20"/>
          </w:rPr>
          <w:t>часть 9 статьи 17</w:t>
        </w:r>
      </w:hyperlink>
      <w:r>
        <w:rPr>
          <w:sz w:val="20"/>
        </w:rPr>
        <w:t xml:space="preserve"> Федерального закона от 28 сентября 2010 г. N 244-ФЗ "Об инновационном центре "Сколково" (Собрание законодательства Российской Федерации, 2010, N 40, ст. 4970; 2019, N 31, ст. 4457), </w:t>
      </w:r>
      <w:hyperlink r:id="rId20" w:tgtFrame="Федеральный закон от 29.07.2017 N 216-ФЗ (ред. от 02.07.2021) Об инновационных научно-технологических центрах и о внесении изменений в отдельные законодательные акты Российской Федерации">
        <w:r>
          <w:rPr>
            <w:color w:val="0000FF"/>
            <w:sz w:val="20"/>
          </w:rPr>
          <w:t>часть 10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p>
      <w:pPr>
        <w:pStyle w:val="ConsPlusNormal"/>
        <w:ind w:firstLine="540"/>
        <w:jc w:val="both"/>
        <w:rPr/>
      </w:pPr>
      <w:r>
        <w:rPr/>
      </w:r>
    </w:p>
    <w:p>
      <w:pPr>
        <w:pStyle w:val="ConsPlusNormal"/>
        <w:ind w:firstLine="540"/>
        <w:jc w:val="both"/>
        <w:rPr/>
      </w:pPr>
      <w:r>
        <w:rPr>
          <w:sz w:val="20"/>
        </w:rPr>
        <w:t>документ (документы) иностранного государства об образовании и о квалификации, если указанное в нем образование признается в Российской Федерации на уровне соответствующего высшего образования (не ниже специалитета или магистратуры) (далее - документ иностранного государства об образовании).</w:t>
      </w:r>
    </w:p>
    <w:p>
      <w:pPr>
        <w:pStyle w:val="ConsPlusNormal"/>
        <w:spacing w:before="200" w:after="0"/>
        <w:ind w:firstLine="540"/>
        <w:jc w:val="both"/>
        <w:rPr/>
      </w:pPr>
      <w:r>
        <w:rPr>
          <w:sz w:val="20"/>
        </w:rPr>
        <w:t>5. Прием на обучение осуществляется на первый курс.</w:t>
      </w:r>
    </w:p>
    <w:p>
      <w:pPr>
        <w:pStyle w:val="ConsPlusNormal"/>
        <w:spacing w:before="200" w:after="0"/>
        <w:ind w:firstLine="540"/>
        <w:jc w:val="both"/>
        <w:rPr/>
      </w:pPr>
      <w:r>
        <w:rPr>
          <w:sz w:val="20"/>
        </w:rPr>
        <w:t>6.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 В рамках контрольных цифр выделяется квота приема на целевое обучение (далее - целевая квота).</w:t>
      </w:r>
      <w:bookmarkStart w:id="4" w:name="P76"/>
      <w:bookmarkEnd w:id="4"/>
    </w:p>
    <w:p>
      <w:pPr>
        <w:pStyle w:val="ConsPlusNormal"/>
        <w:spacing w:before="200" w:after="0"/>
        <w:ind w:firstLine="540"/>
        <w:jc w:val="both"/>
        <w:rPr/>
      </w:pPr>
      <w:r>
        <w:rPr>
          <w:sz w:val="20"/>
        </w:rPr>
        <w:t>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w:t>
      </w:r>
      <w:bookmarkStart w:id="5" w:name="P77"/>
      <w:bookmarkEnd w:id="5"/>
    </w:p>
    <w:p>
      <w:pPr>
        <w:pStyle w:val="ConsPlusNormal"/>
        <w:spacing w:before="200" w:after="0"/>
        <w:ind w:firstLine="540"/>
        <w:jc w:val="both"/>
        <w:rPr/>
      </w:pPr>
      <w:r>
        <w:rPr>
          <w:sz w:val="20"/>
        </w:rPr>
        <w:t>1) по организации в целом, включая все ее филиалы, или раздельно для обучения в организации и для обучения в каждом из ее филиалов;</w:t>
      </w:r>
    </w:p>
    <w:p>
      <w:pPr>
        <w:pStyle w:val="ConsPlusNormal"/>
        <w:spacing w:before="200" w:after="0"/>
        <w:ind w:firstLine="540"/>
        <w:jc w:val="both"/>
        <w:rPr/>
      </w:pPr>
      <w:r>
        <w:rPr>
          <w:sz w:val="20"/>
        </w:rPr>
        <w:t>2) раздельно по очной, очно-заочной, заочной формам обучения;</w:t>
      </w:r>
      <w:bookmarkStart w:id="6" w:name="P79"/>
      <w:bookmarkEnd w:id="6"/>
    </w:p>
    <w:p>
      <w:pPr>
        <w:pStyle w:val="ConsPlusNormal"/>
        <w:spacing w:before="200" w:after="0"/>
        <w:ind w:firstLine="540"/>
        <w:jc w:val="both"/>
        <w:rPr/>
      </w:pPr>
      <w:r>
        <w:rPr>
          <w:sz w:val="20"/>
        </w:rPr>
        <w:t>3) раздельно по программам аспирантуры в зависимости от их направленности (профиля):</w:t>
      </w:r>
      <w:bookmarkStart w:id="7" w:name="P80"/>
      <w:bookmarkEnd w:id="7"/>
    </w:p>
    <w:p>
      <w:pPr>
        <w:pStyle w:val="ConsPlusNormal"/>
        <w:spacing w:before="200" w:after="0"/>
        <w:ind w:firstLine="540"/>
        <w:jc w:val="both"/>
        <w:rPr/>
      </w:pPr>
      <w:r>
        <w:rPr>
          <w:sz w:val="20"/>
        </w:rPr>
        <w:t>а) по научной специальности;</w:t>
      </w:r>
    </w:p>
    <w:p>
      <w:pPr>
        <w:pStyle w:val="ConsPlusNormal"/>
        <w:spacing w:before="200" w:after="0"/>
        <w:ind w:firstLine="540"/>
        <w:jc w:val="both"/>
        <w:rPr/>
      </w:pPr>
      <w:r>
        <w:rPr>
          <w:sz w:val="20"/>
        </w:rPr>
        <w:t>б) по нескольким научным специальностям в пределах группы научных специальностей (в случае, если контрольные цифры установлены по группе научных специальностей, а также в случае, если контрольные цифры по соответствующим научным специальностям не установлены);</w:t>
      </w:r>
      <w:bookmarkStart w:id="8" w:name="P82"/>
      <w:bookmarkEnd w:id="8"/>
    </w:p>
    <w:p>
      <w:pPr>
        <w:pStyle w:val="ConsPlusNormal"/>
        <w:spacing w:before="200" w:after="0"/>
        <w:ind w:firstLine="540"/>
        <w:jc w:val="both"/>
        <w:rPr/>
      </w:pPr>
      <w:r>
        <w:rPr>
          <w:sz w:val="20"/>
        </w:rPr>
        <w:t>4) раздельно в рамках контрольных цифр и по договорам об оказании платных образовательных услуг;</w:t>
      </w:r>
    </w:p>
    <w:p>
      <w:pPr>
        <w:pStyle w:val="ConsPlusNormal"/>
        <w:spacing w:before="200" w:after="0"/>
        <w:ind w:firstLine="540"/>
        <w:jc w:val="both"/>
        <w:rPr/>
      </w:pPr>
      <w:r>
        <w:rPr>
          <w:sz w:val="20"/>
        </w:rPr>
        <w:t>5) раздельно на места в пределах целевой квоты и на места в рамках контрольных цифр за вычетом целевой квоты (далее - основные места в рамках контрольных цифр).</w:t>
      </w:r>
    </w:p>
    <w:p>
      <w:pPr>
        <w:pStyle w:val="ConsPlusNormal"/>
        <w:spacing w:before="200" w:after="0"/>
        <w:ind w:firstLine="540"/>
        <w:jc w:val="both"/>
        <w:rPr/>
      </w:pPr>
      <w:r>
        <w:rPr>
          <w:sz w:val="20"/>
        </w:rPr>
        <w:t xml:space="preserve">8. Организация может использовать различные способы проведения конкурса, указанные в </w:t>
      </w:r>
      <w:hyperlink w:anchor="P76" w:tgtFrame="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
        <w:r>
          <w:rPr>
            <w:color w:val="0000FF"/>
            <w:sz w:val="20"/>
          </w:rPr>
          <w:t>пункте 7</w:t>
        </w:r>
      </w:hyperlink>
      <w:r>
        <w:rPr>
          <w:sz w:val="20"/>
        </w:rPr>
        <w:t xml:space="preserve"> Порядка, по различным условиям поступления.</w:t>
      </w:r>
    </w:p>
    <w:p>
      <w:pPr>
        <w:pStyle w:val="ConsPlusNormal"/>
        <w:spacing w:before="200" w:after="0"/>
        <w:ind w:firstLine="540"/>
        <w:jc w:val="both"/>
        <w:rPr/>
      </w:pPr>
      <w:r>
        <w:rPr>
          <w:sz w:val="20"/>
        </w:rPr>
        <w:t xml:space="preserve">9. Для всех конкурсов в рамках одного условия поступления, указанного в </w:t>
      </w:r>
      <w:hyperlink w:anchor="P79" w:tgtFrame="3) раздельно по программам аспирантуры в зависимости от их направленности (профиля):">
        <w:r>
          <w:rPr>
            <w:color w:val="0000FF"/>
            <w:sz w:val="20"/>
          </w:rPr>
          <w:t>подпункте 3 пункта 7</w:t>
        </w:r>
      </w:hyperlink>
      <w:r>
        <w:rPr>
          <w:sz w:val="20"/>
        </w:rPr>
        <w:t xml:space="preserve"> Порядка, устанавливаются одинаковые перечень вступительных испытаний, минимальное количество баллов, подтверждающее успешное прохождение вступительного испытания (далее - минимальное количество баллов), и максимальное количество баллов, за исключением случая, указанного в </w:t>
      </w:r>
      <w:hyperlink w:anchor="P86" w:tgtFrame="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
        <w:r>
          <w:rPr>
            <w:color w:val="0000FF"/>
            <w:sz w:val="20"/>
          </w:rPr>
          <w:t>абзаце втором</w:t>
        </w:r>
      </w:hyperlink>
      <w:r>
        <w:rPr>
          <w:sz w:val="20"/>
        </w:rPr>
        <w:t xml:space="preserve"> настоящего пункта.</w:t>
      </w:r>
    </w:p>
    <w:p>
      <w:pPr>
        <w:pStyle w:val="ConsPlusNormal"/>
        <w:spacing w:before="200" w:after="0"/>
        <w:ind w:firstLine="540"/>
        <w:jc w:val="both"/>
        <w:rPr/>
      </w:pPr>
      <w:r>
        <w:rPr>
          <w:sz w:val="20"/>
        </w:rP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77" w:tgtFrame="1) по организации в целом, включая все ее филиалы, или раздельно для обучения в организации и для обучения в каждом из ее филиалов;">
        <w:r>
          <w:rPr>
            <w:color w:val="0000FF"/>
            <w:sz w:val="20"/>
          </w:rPr>
          <w:t>подпунктах 1</w:t>
        </w:r>
      </w:hyperlink>
      <w:r>
        <w:rPr>
          <w:sz w:val="20"/>
        </w:rPr>
        <w:t xml:space="preserve"> и (или) </w:t>
      </w:r>
      <w:hyperlink w:anchor="P82" w:tgtFrame="4) раздельно в рамках контрольных цифр и по договорам об оказании платных образовательных услуг;">
        <w:r>
          <w:rPr>
            <w:color w:val="0000FF"/>
            <w:sz w:val="20"/>
          </w:rPr>
          <w:t>4 пункта 7</w:t>
        </w:r>
      </w:hyperlink>
      <w:r>
        <w:rPr>
          <w:sz w:val="20"/>
        </w:rPr>
        <w:t xml:space="preserve"> Порядка.</w:t>
      </w:r>
    </w:p>
    <w:p>
      <w:pPr>
        <w:pStyle w:val="ConsPlusNormal"/>
        <w:spacing w:before="200" w:after="0"/>
        <w:ind w:firstLine="540"/>
        <w:jc w:val="both"/>
        <w:rPr/>
      </w:pPr>
      <w:r>
        <w:rPr>
          <w:sz w:val="20"/>
        </w:rPr>
        <w:t>10. Организация может проводить дополнительный прием на обучение на вакантные места в установленные ею сроки.</w:t>
      </w:r>
    </w:p>
    <w:p>
      <w:pPr>
        <w:pStyle w:val="ConsPlusNormal"/>
        <w:ind w:firstLine="540"/>
        <w:jc w:val="both"/>
        <w:rPr/>
      </w:pPr>
      <w:r>
        <w:rPr/>
      </w:r>
    </w:p>
    <w:p>
      <w:pPr>
        <w:pStyle w:val="ConsPlusTitle"/>
        <w:numPr>
          <w:ilvl w:val="0"/>
          <w:numId w:val="0"/>
        </w:numPr>
        <w:ind w:left="0" w:hanging="0"/>
        <w:jc w:val="center"/>
        <w:outlineLvl w:val="1"/>
        <w:rPr/>
      </w:pPr>
      <w:r>
        <w:rPr>
          <w:sz w:val="20"/>
        </w:rPr>
        <w:t>II. Информирование о приеме на обучение</w:t>
      </w:r>
    </w:p>
    <w:p>
      <w:pPr>
        <w:pStyle w:val="ConsPlusNormal"/>
        <w:ind w:firstLine="540"/>
        <w:jc w:val="both"/>
        <w:rPr/>
      </w:pPr>
      <w:r>
        <w:rPr/>
      </w:r>
    </w:p>
    <w:p>
      <w:pPr>
        <w:pStyle w:val="ConsPlusNormal"/>
        <w:ind w:firstLine="540"/>
        <w:jc w:val="both"/>
        <w:rPr/>
      </w:pPr>
      <w:r>
        <w:rPr>
          <w:sz w:val="20"/>
        </w:rPr>
        <w:t xml:space="preserve">11. Организация обязана ознакомить поступающего и (или) его родителей </w:t>
      </w:r>
      <w:hyperlink r:id="rId21" w:tgtFrame="Справочная информация: Законные представители">
        <w:r>
          <w:rPr>
            <w:color w:val="0000FF"/>
            <w:sz w:val="20"/>
          </w:rPr>
          <w:t>(законных представителей)</w:t>
        </w:r>
      </w:hyperlink>
      <w:r>
        <w:rPr>
          <w:sz w:val="20"/>
        </w:rPr>
        <w:t xml:space="preserve"> с документами и информацией, указанными в </w:t>
      </w:r>
      <w:hyperlink r:id="rId22" w:tgtFrame="Федеральный закон от 29.12.2012 N 273-ФЗ (ред. от 14.07.2022) Об образовании в Российской Федерации">
        <w:r>
          <w:rPr>
            <w:color w:val="0000FF"/>
            <w:sz w:val="20"/>
          </w:rPr>
          <w:t>части 2 статьи 55</w:t>
        </w:r>
      </w:hyperlink>
      <w:r>
        <w:rPr>
          <w:sz w:val="20"/>
        </w:rPr>
        <w:t xml:space="preserve"> Федерального закона N 273-ФЗ &lt;6&gt;.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&lt;6&gt; Собрание законодательства Российской Федерации, 2012, N 53, ст. 7598; 2019, N 30, ст. 4134.</w:t>
      </w:r>
    </w:p>
    <w:p>
      <w:pPr>
        <w:pStyle w:val="ConsPlusNormal"/>
        <w:ind w:firstLine="540"/>
        <w:jc w:val="both"/>
        <w:rPr/>
      </w:pPr>
      <w:r>
        <w:rPr/>
      </w:r>
    </w:p>
    <w:p>
      <w:pPr>
        <w:pStyle w:val="ConsPlusNormal"/>
        <w:ind w:firstLine="540"/>
        <w:jc w:val="both"/>
        <w:rPr/>
      </w:pPr>
      <w:r>
        <w:rPr>
          <w:sz w:val="20"/>
        </w:rPr>
        <w:t>12. В целях информирования о приеме на обучение организация размещает информацию о приеме на обучение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pPr>
        <w:pStyle w:val="ConsPlusNormal"/>
        <w:spacing w:before="200" w:after="0"/>
        <w:ind w:firstLine="540"/>
        <w:jc w:val="both"/>
        <w:rPr/>
      </w:pPr>
      <w:r>
        <w:rPr>
          <w:sz w:val="20"/>
        </w:rPr>
        <w:t>1) не позднее 1 ноября года, предшествующего году приема на обучение (при приеме на 2022/23 учебный год - не позднее 15 апреля 2022 г.):</w:t>
      </w:r>
    </w:p>
    <w:p>
      <w:pPr>
        <w:pStyle w:val="ConsPlusNormal"/>
        <w:spacing w:before="200" w:after="0"/>
        <w:ind w:firstLine="540"/>
        <w:jc w:val="both"/>
        <w:rPr/>
      </w:pPr>
      <w:r>
        <w:rPr>
          <w:sz w:val="20"/>
        </w:rPr>
        <w:t>а) правила приема, утвержденные организацией самостоятельно, в том числе:</w:t>
      </w:r>
    </w:p>
    <w:p>
      <w:pPr>
        <w:pStyle w:val="ConsPlusNormal"/>
        <w:spacing w:before="200" w:after="0"/>
        <w:ind w:firstLine="540"/>
        <w:jc w:val="both"/>
        <w:rPr/>
      </w:pPr>
      <w:r>
        <w:rPr>
          <w:sz w:val="20"/>
        </w:rPr>
        <w:t xml:space="preserve">сроки проведения приема на обучение (за исключением сроков, указанных в </w:t>
      </w:r>
      <w:hyperlink w:anchor="P116" w:tgtFrame="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пунктом 47 Порядка), издания приказа (приказов) о зачислении);">
        <w:r>
          <w:rPr>
            <w:color w:val="0000FF"/>
            <w:sz w:val="20"/>
          </w:rPr>
          <w:t>подпункте "б" подпункта 2</w:t>
        </w:r>
      </w:hyperlink>
      <w:r>
        <w:rPr>
          <w:sz w:val="20"/>
        </w:rPr>
        <w:t xml:space="preserve"> настоящего пункта);</w:t>
      </w:r>
    </w:p>
    <w:p>
      <w:pPr>
        <w:pStyle w:val="ConsPlusNormal"/>
        <w:spacing w:before="200" w:after="0"/>
        <w:ind w:firstLine="540"/>
        <w:jc w:val="both"/>
        <w:rPr/>
      </w:pPr>
      <w:r>
        <w:rPr>
          <w:sz w:val="20"/>
        </w:rPr>
        <w:t>особенности проведения вступительных испытаний для инвалидов;</w:t>
      </w:r>
    </w:p>
    <w:p>
      <w:pPr>
        <w:pStyle w:val="ConsPlusNormal"/>
        <w:spacing w:before="200" w:after="0"/>
        <w:ind w:firstLine="540"/>
        <w:jc w:val="both"/>
        <w:rPr/>
      </w:pPr>
      <w:r>
        <w:rPr>
          <w:sz w:val="20"/>
        </w:rPr>
        <w:t>порядок подачи и рассмотрения апелляций по результатам вступительных испытаний;</w:t>
      </w:r>
    </w:p>
    <w:p>
      <w:pPr>
        <w:pStyle w:val="ConsPlusNormal"/>
        <w:spacing w:before="200" w:after="0"/>
        <w:ind w:firstLine="540"/>
        <w:jc w:val="both"/>
        <w:rPr/>
      </w:pPr>
      <w:r>
        <w:rPr>
          <w:sz w:val="20"/>
        </w:rPr>
        <w:t>перечень индивидуальных достижений поступающих, учитываемых при приеме на обучение, и порядок учета указанных достижений;</w:t>
      </w:r>
    </w:p>
    <w:p>
      <w:pPr>
        <w:pStyle w:val="ConsPlusNormal"/>
        <w:spacing w:before="200" w:after="0"/>
        <w:ind w:firstLine="540"/>
        <w:jc w:val="both"/>
        <w:rPr/>
      </w:pPr>
      <w:r>
        <w:rPr>
          <w:sz w:val="20"/>
        </w:rPr>
        <w:t>б) количество мест для приема на обучение по различным условиям поступления в рамках контрольных цифр (без указания целевой квоты);</w:t>
      </w:r>
    </w:p>
    <w:p>
      <w:pPr>
        <w:pStyle w:val="ConsPlusNormal"/>
        <w:spacing w:before="200" w:after="0"/>
        <w:ind w:firstLine="540"/>
        <w:jc w:val="both"/>
        <w:rPr/>
      </w:pPr>
      <w:r>
        <w:rPr>
          <w:sz w:val="20"/>
        </w:rPr>
        <w:t>в) перечень вступительных испытаний с указанием по каждому вступительному испытанию следующих сведений:</w:t>
      </w:r>
    </w:p>
    <w:p>
      <w:pPr>
        <w:pStyle w:val="ConsPlusNormal"/>
        <w:spacing w:before="200" w:after="0"/>
        <w:ind w:firstLine="540"/>
        <w:jc w:val="both"/>
        <w:rPr/>
      </w:pPr>
      <w:r>
        <w:rPr>
          <w:sz w:val="20"/>
        </w:rPr>
        <w:t>наименование вступительного испытания;</w:t>
      </w:r>
    </w:p>
    <w:p>
      <w:pPr>
        <w:pStyle w:val="ConsPlusNormal"/>
        <w:spacing w:before="200" w:after="0"/>
        <w:ind w:firstLine="540"/>
        <w:jc w:val="both"/>
        <w:rPr/>
      </w:pPr>
      <w:r>
        <w:rPr>
          <w:sz w:val="20"/>
        </w:rPr>
        <w:t>максимальное количество баллов;</w:t>
      </w:r>
    </w:p>
    <w:p>
      <w:pPr>
        <w:pStyle w:val="ConsPlusNormal"/>
        <w:spacing w:before="200" w:after="0"/>
        <w:ind w:firstLine="540"/>
        <w:jc w:val="both"/>
        <w:rPr/>
      </w:pPr>
      <w:r>
        <w:rPr>
          <w:sz w:val="20"/>
        </w:rPr>
        <w:t>минимальное количество баллов;</w:t>
      </w:r>
    </w:p>
    <w:p>
      <w:pPr>
        <w:pStyle w:val="ConsPlusNormal"/>
        <w:spacing w:before="200" w:after="0"/>
        <w:ind w:firstLine="540"/>
        <w:jc w:val="both"/>
        <w:rPr/>
      </w:pPr>
      <w:r>
        <w:rPr>
          <w:sz w:val="20"/>
        </w:rPr>
        <w:t>приоритетность вступительного испытания при ранжировании списков поступающих;</w:t>
      </w:r>
    </w:p>
    <w:p>
      <w:pPr>
        <w:pStyle w:val="ConsPlusNormal"/>
        <w:spacing w:before="200" w:after="0"/>
        <w:ind w:firstLine="540"/>
        <w:jc w:val="both"/>
        <w:rPr/>
      </w:pPr>
      <w:r>
        <w:rPr>
          <w:sz w:val="20"/>
        </w:rPr>
        <w:t>форма проведения вступительного испытания, языки, на которых осуществляется сдача вступительного испытания, программа вступительного испытания;</w:t>
      </w:r>
    </w:p>
    <w:p>
      <w:pPr>
        <w:pStyle w:val="ConsPlusNormal"/>
        <w:spacing w:before="200" w:after="0"/>
        <w:ind w:firstLine="540"/>
        <w:jc w:val="both"/>
        <w:rPr/>
      </w:pPr>
      <w:r>
        <w:rPr>
          <w:sz w:val="20"/>
        </w:rPr>
        <w:t>информация о проведении вступительного испытания очно и (или) с использованием дистанционных технологий;</w:t>
      </w:r>
    </w:p>
    <w:p>
      <w:pPr>
        <w:pStyle w:val="ConsPlusNormal"/>
        <w:spacing w:before="200" w:after="0"/>
        <w:ind w:firstLine="540"/>
        <w:jc w:val="both"/>
        <w:rPr/>
      </w:pPr>
      <w:r>
        <w:rPr>
          <w:sz w:val="20"/>
        </w:rPr>
        <w:t>г) информация о местах приема заявлений о приеме на обучение и прилагаемых к ним документов (далее соответственно - прием документов; документы, необходимые для поступления), о почтовых адресах для направления документов, необходимых для поступления, об электронных адресах для направления документов, необходимых для поступления, в электронной форме (если организация осуществляет прием документов в электронной форме посредством электронной почты);</w:t>
      </w:r>
    </w:p>
    <w:p>
      <w:pPr>
        <w:pStyle w:val="ConsPlusNormal"/>
        <w:spacing w:before="200" w:after="0"/>
        <w:ind w:firstLine="540"/>
        <w:jc w:val="both"/>
        <w:rPr/>
      </w:pPr>
      <w:r>
        <w:rPr>
          <w:sz w:val="20"/>
        </w:rPr>
        <w:t>д) информация о возможности подачи документов, необходимых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соответственно - суперсервис, ЕПГУ) (в случае установления возможности использования суперсервиса при приеме на обучение по программам аспирантуры);</w:t>
      </w:r>
    </w:p>
    <w:p>
      <w:pPr>
        <w:pStyle w:val="ConsPlusNormal"/>
        <w:spacing w:before="200" w:after="0"/>
        <w:ind w:firstLine="540"/>
        <w:jc w:val="both"/>
        <w:rPr/>
      </w:pPr>
      <w:r>
        <w:rPr>
          <w:sz w:val="20"/>
        </w:rPr>
        <w:t>е) образец договора об оказании платных образовательных услуг (при объявлении приема на места по договорам об оказании платных образовательных услуг);</w:t>
      </w:r>
    </w:p>
    <w:p>
      <w:pPr>
        <w:pStyle w:val="ConsPlusNormal"/>
        <w:spacing w:before="200" w:after="0"/>
        <w:ind w:firstLine="540"/>
        <w:jc w:val="both"/>
        <w:rPr/>
      </w:pPr>
      <w:r>
        <w:rPr>
          <w:sz w:val="20"/>
        </w:rPr>
        <w:t>ж) информация о наличии общежития(ий);</w:t>
      </w:r>
    </w:p>
    <w:p>
      <w:pPr>
        <w:pStyle w:val="ConsPlusNormal"/>
        <w:spacing w:before="200" w:after="0"/>
        <w:ind w:firstLine="540"/>
        <w:jc w:val="both"/>
        <w:rPr/>
      </w:pPr>
      <w:r>
        <w:rPr>
          <w:sz w:val="20"/>
        </w:rPr>
        <w:t>2) не позднее 1 июня года приема на обучение:</w:t>
      </w:r>
    </w:p>
    <w:p>
      <w:pPr>
        <w:pStyle w:val="ConsPlusNormal"/>
        <w:spacing w:before="200" w:after="0"/>
        <w:ind w:firstLine="540"/>
        <w:jc w:val="both"/>
        <w:rPr/>
      </w:pPr>
      <w:r>
        <w:rPr>
          <w:sz w:val="20"/>
        </w:rPr>
        <w:t>а) количество мест для приема на обучение в рамках контрольных цифр по различным условиям поступления с указанием целевой квоты;</w:t>
      </w:r>
      <w:bookmarkStart w:id="9" w:name="P116"/>
      <w:bookmarkEnd w:id="9"/>
    </w:p>
    <w:p>
      <w:pPr>
        <w:pStyle w:val="ConsPlusNormal"/>
        <w:spacing w:before="200" w:after="0"/>
        <w:ind w:firstLine="540"/>
        <w:jc w:val="both"/>
        <w:rPr/>
      </w:pPr>
      <w:r>
        <w:rPr>
          <w:sz w:val="20"/>
        </w:rPr>
        <w:t xml:space="preserve">б) сроки зачисления (сроки размещения ранжированных списков поступающих на официальном сайте, завершения приема оригинала документа установленного образца или согласия на зачисление в соответствии с </w:t>
      </w:r>
      <w:hyperlink w:anchor="P249" w:tgtFrame="47. Организация устанавливает день завершения приема документов установленного образца, не позднее которого поступающие представляют:">
        <w:r>
          <w:rPr>
            <w:color w:val="0000FF"/>
            <w:sz w:val="20"/>
          </w:rPr>
          <w:t>пунктом 47</w:t>
        </w:r>
      </w:hyperlink>
      <w:r>
        <w:rPr>
          <w:sz w:val="20"/>
        </w:rPr>
        <w:t xml:space="preserve"> Порядка), издания приказа (приказов) о зачислении);</w:t>
      </w:r>
    </w:p>
    <w:p>
      <w:pPr>
        <w:pStyle w:val="ConsPlusNormal"/>
        <w:spacing w:before="200" w:after="0"/>
        <w:ind w:firstLine="540"/>
        <w:jc w:val="both"/>
        <w:rPr/>
      </w:pPr>
      <w:r>
        <w:rPr>
          <w:sz w:val="20"/>
        </w:rPr>
        <w:t>в) информация о количестве мест в общежитиях для иногородних обучающихся;</w:t>
      </w:r>
    </w:p>
    <w:p>
      <w:pPr>
        <w:pStyle w:val="ConsPlusNormal"/>
        <w:spacing w:before="200" w:after="0"/>
        <w:ind w:firstLine="540"/>
        <w:jc w:val="both"/>
        <w:rPr/>
      </w:pPr>
      <w:r>
        <w:rPr>
          <w:sz w:val="20"/>
        </w:rPr>
        <w:t>3) не позднее чем за 5 месяцев до начала зачисления на места по договорам об оказании платных образовательных услуг - количество указанных мест;</w:t>
      </w:r>
    </w:p>
    <w:p>
      <w:pPr>
        <w:pStyle w:val="ConsPlusNormal"/>
        <w:spacing w:before="200" w:after="0"/>
        <w:ind w:firstLine="540"/>
        <w:jc w:val="both"/>
        <w:rPr/>
      </w:pPr>
      <w:r>
        <w:rPr>
          <w:sz w:val="20"/>
        </w:rPr>
        <w:t>4) не позднее чем за 14 календарных дней до начала вступительных испытаний - расписание вступительных испытаний.</w:t>
      </w:r>
    </w:p>
    <w:p>
      <w:pPr>
        <w:pStyle w:val="ConsPlusNormal"/>
        <w:spacing w:before="200" w:after="0"/>
        <w:ind w:firstLine="540"/>
        <w:jc w:val="both"/>
        <w:rPr/>
      </w:pPr>
      <w:r>
        <w:rPr>
          <w:sz w:val="20"/>
        </w:rP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w:t>
      </w:r>
    </w:p>
    <w:p>
      <w:pPr>
        <w:pStyle w:val="ConsPlusNormal"/>
        <w:spacing w:before="200" w:after="0"/>
        <w:ind w:firstLine="540"/>
        <w:jc w:val="both"/>
        <w:rPr/>
      </w:pPr>
      <w:r>
        <w:rPr>
          <w:sz w:val="20"/>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pPr>
        <w:pStyle w:val="ConsPlusNormal"/>
        <w:spacing w:before="200" w:after="0"/>
        <w:ind w:firstLine="540"/>
        <w:jc w:val="both"/>
        <w:rPr/>
      </w:pPr>
      <w:r>
        <w:rPr>
          <w:sz w:val="20"/>
        </w:rPr>
        <w:t>13. Организация обеспечивает функционирование телефонных линий и раздела официального сайта для ответов на обращения, связанные с приемом на обучение.</w:t>
      </w:r>
    </w:p>
    <w:p>
      <w:pPr>
        <w:pStyle w:val="ConsPlusNormal"/>
        <w:spacing w:before="200" w:after="0"/>
        <w:ind w:firstLine="540"/>
        <w:jc w:val="both"/>
        <w:rPr/>
      </w:pPr>
      <w:r>
        <w:rPr>
          <w:sz w:val="20"/>
        </w:rPr>
        <w:t>14.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pPr>
        <w:pStyle w:val="ConsPlusNormal"/>
        <w:ind w:firstLine="540"/>
        <w:jc w:val="both"/>
        <w:rPr/>
      </w:pPr>
      <w:r>
        <w:rPr/>
      </w:r>
    </w:p>
    <w:p>
      <w:pPr>
        <w:pStyle w:val="ConsPlusTitle"/>
        <w:numPr>
          <w:ilvl w:val="0"/>
          <w:numId w:val="0"/>
        </w:numPr>
        <w:ind w:left="0" w:hanging="0"/>
        <w:jc w:val="center"/>
        <w:outlineLvl w:val="1"/>
        <w:rPr/>
      </w:pPr>
      <w:r>
        <w:rPr>
          <w:sz w:val="20"/>
        </w:rPr>
        <w:t>III. Прием документов</w:t>
      </w:r>
    </w:p>
    <w:p>
      <w:pPr>
        <w:pStyle w:val="ConsPlusNormal"/>
        <w:ind w:firstLine="540"/>
        <w:jc w:val="both"/>
        <w:rPr/>
      </w:pPr>
      <w:r>
        <w:rPr/>
      </w:r>
    </w:p>
    <w:p>
      <w:pPr>
        <w:pStyle w:val="ConsPlusNormal"/>
        <w:ind w:firstLine="540"/>
        <w:jc w:val="both"/>
        <w:rPr/>
      </w:pPr>
      <w:r>
        <w:rPr>
          <w:sz w:val="20"/>
        </w:rPr>
        <w:t xml:space="preserve">15. Для поступления на обучение поступающий подает заявление о приеме на обучение с приложением необходимых документов (далее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которое содержит в том числе согласие на обработку персональных данных, разрешенных поступающим для распространения (раскрытия неопределенному кругу лиц), даваемое в соответствии со </w:t>
      </w:r>
      <w:hyperlink r:id="rId23" w:tgtFrame="Федеральный закон от 27.07.2006 N 152-ФЗ (ред. от 14.07.2022) О персональных данных">
        <w:r>
          <w:rPr>
            <w:color w:val="0000FF"/>
            <w:sz w:val="20"/>
          </w:rPr>
          <w:t>статьей 10.1</w:t>
        </w:r>
      </w:hyperlink>
      <w:r>
        <w:rPr>
          <w:sz w:val="20"/>
        </w:rPr>
        <w:t xml:space="preserve"> Федерального закона от 27 июля 2006 г. N 152-ФЗ "О персональных данных" &lt;7&gt;.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&lt;7&gt; Собрание законодательства Российской Федерации, 2006, N 31, ст. 3451; 2021, N 1, ст. 58.</w:t>
      </w:r>
    </w:p>
    <w:p>
      <w:pPr>
        <w:pStyle w:val="ConsPlusNormal"/>
        <w:ind w:firstLine="540"/>
        <w:jc w:val="both"/>
        <w:rPr/>
      </w:pPr>
      <w:r>
        <w:rPr/>
      </w:r>
    </w:p>
    <w:p>
      <w:pPr>
        <w:pStyle w:val="ConsPlusNormal"/>
        <w:ind w:firstLine="540"/>
        <w:jc w:val="both"/>
        <w:rPr/>
      </w:pPr>
      <w:r>
        <w:rPr>
          <w:sz w:val="20"/>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pPr>
        <w:pStyle w:val="ConsPlusNormal"/>
        <w:spacing w:before="200" w:after="0"/>
        <w:ind w:firstLine="540"/>
        <w:jc w:val="both"/>
        <w:rPr/>
      </w:pPr>
      <w:r>
        <w:rPr>
          <w:sz w:val="20"/>
        </w:rPr>
        <w:t>16. Заявление о приеме, подаваемое поступающим, должно предусматривать заверение личной подписью поступающего следующих фактов:</w:t>
      </w:r>
    </w:p>
    <w:p>
      <w:pPr>
        <w:pStyle w:val="ConsPlusNormal"/>
        <w:spacing w:before="200" w:after="0"/>
        <w:ind w:firstLine="540"/>
        <w:jc w:val="both"/>
        <w:rPr/>
      </w:pPr>
      <w:r>
        <w:rPr>
          <w:sz w:val="20"/>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pPr>
        <w:pStyle w:val="ConsPlusNormal"/>
        <w:spacing w:before="200" w:after="0"/>
        <w:ind w:firstLine="540"/>
        <w:jc w:val="both"/>
        <w:rPr/>
      </w:pPr>
      <w:r>
        <w:rPr>
          <w:sz w:val="20"/>
        </w:rPr>
        <w:t xml:space="preserve">ознакомление поступающего с правилами приема, утвержденными организацией, а также с документами и информацией, указанными в </w:t>
      </w:r>
      <w:hyperlink r:id="rId24" w:tgtFrame="Федеральный закон от 29.12.2012 N 273-ФЗ (ред. от 14.07.2022) Об образовании в Российской Федерации">
        <w:r>
          <w:rPr>
            <w:color w:val="0000FF"/>
            <w:sz w:val="20"/>
          </w:rPr>
          <w:t>части 2 статьи 55</w:t>
        </w:r>
      </w:hyperlink>
      <w:r>
        <w:rPr>
          <w:sz w:val="20"/>
        </w:rPr>
        <w:t xml:space="preserve"> Федерального закона N 273-ФЗ &lt;8&gt;;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&lt;8&gt; Собрание законодательства Российской Федерации, 2012, N 53, ст. 7598; 2019, N 30, ст. 4134.</w:t>
      </w:r>
    </w:p>
    <w:p>
      <w:pPr>
        <w:pStyle w:val="ConsPlusNormal"/>
        <w:ind w:firstLine="540"/>
        <w:jc w:val="both"/>
        <w:rPr/>
      </w:pPr>
      <w:r>
        <w:rPr/>
      </w:r>
    </w:p>
    <w:p>
      <w:pPr>
        <w:pStyle w:val="ConsPlusNormal"/>
        <w:ind w:firstLine="540"/>
        <w:jc w:val="both"/>
        <w:rPr/>
      </w:pPr>
      <w:r>
        <w:rPr>
          <w:sz w:val="20"/>
        </w:rPr>
        <w:t>при поступлении на обучение на места в рамках контрольных цифр - отсутствие у поступающего диплома об окончании аспирантуры, диплома об окончании адъюнктуры, свидетельства об окончании аспирантуры, свидетельства об окончании адъюнктуры, диплома кандидата наук.</w:t>
      </w:r>
    </w:p>
    <w:p>
      <w:pPr>
        <w:pStyle w:val="ConsPlusNormal"/>
        <w:spacing w:before="200" w:after="0"/>
        <w:ind w:firstLine="540"/>
        <w:jc w:val="both"/>
        <w:rPr/>
      </w:pPr>
      <w:r>
        <w:rPr>
          <w:sz w:val="20"/>
        </w:rPr>
        <w:t xml:space="preserve">17. В заявлении о приеме указываются условия поступления (согласно </w:t>
      </w:r>
      <w:hyperlink w:anchor="P76" w:tgtFrame="7. Организация осуществляет прием на обучение по следующим условиям поступления на обучение (далее - условия поступления) с проведением отдельного конкурса по каждой совокупности этих условий:">
        <w:r>
          <w:rPr>
            <w:color w:val="0000FF"/>
            <w:sz w:val="20"/>
          </w:rPr>
          <w:t>пункту 7</w:t>
        </w:r>
      </w:hyperlink>
      <w:r>
        <w:rPr>
          <w:sz w:val="20"/>
        </w:rPr>
        <w:t xml:space="preserve"> Порядка), по которым поступающий намерен поступать на обучение, с указанием приоритетности зачисления по различным условиям поступления, а также 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(далее - страховой номер индивидуального лицевого счета) (при наличии).</w:t>
      </w:r>
    </w:p>
    <w:p>
      <w:pPr>
        <w:pStyle w:val="ConsPlusNormal"/>
        <w:spacing w:before="200" w:after="0"/>
        <w:ind w:firstLine="540"/>
        <w:jc w:val="both"/>
        <w:rPr/>
      </w:pPr>
      <w:r>
        <w:rPr>
          <w:sz w:val="20"/>
        </w:rPr>
        <w:t>18. При подаче заявления о приеме поступающий представляет:</w:t>
      </w:r>
      <w:bookmarkStart w:id="10" w:name="P141"/>
      <w:bookmarkEnd w:id="10"/>
    </w:p>
    <w:p>
      <w:pPr>
        <w:pStyle w:val="ConsPlusNormal"/>
        <w:spacing w:before="200" w:after="0"/>
        <w:ind w:firstLine="540"/>
        <w:jc w:val="both"/>
        <w:rPr/>
      </w:pPr>
      <w:r>
        <w:rPr>
          <w:sz w:val="20"/>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pPr>
        <w:pStyle w:val="ConsPlusNormal"/>
        <w:spacing w:before="200" w:after="0"/>
        <w:ind w:firstLine="540"/>
        <w:jc w:val="both"/>
        <w:rPr/>
      </w:pPr>
      <w:r>
        <w:rPr>
          <w:sz w:val="20"/>
        </w:rPr>
        <w:t xml:space="preserve">2) документ установленного образца, указанный в </w:t>
      </w:r>
      <w:hyperlink w:anchor="P55" w:tgtFrame="4. К освоению программ аспирантуры допускаются лица, имеющие образование не ниже высшего (специалитет или магистратура) &lt;2&gt;.">
        <w:r>
          <w:rPr>
            <w:color w:val="0000FF"/>
            <w:sz w:val="20"/>
          </w:rPr>
          <w:t>пункте 4</w:t>
        </w:r>
      </w:hyperlink>
      <w:r>
        <w:rPr>
          <w:sz w:val="20"/>
        </w:rP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pPr>
        <w:pStyle w:val="ConsPlusNormal"/>
        <w:spacing w:before="200" w:after="0"/>
        <w:ind w:firstLine="540"/>
        <w:jc w:val="both"/>
        <w:rPr/>
      </w:pPr>
      <w:r>
        <w:rPr>
          <w:sz w:val="20"/>
        </w:rPr>
        <w:t>Поступающий может представить один или несколько документов установленного образца.</w:t>
      </w:r>
    </w:p>
    <w:p>
      <w:pPr>
        <w:pStyle w:val="ConsPlusNormal"/>
        <w:spacing w:before="200" w:after="0"/>
        <w:ind w:firstLine="540"/>
        <w:jc w:val="both"/>
        <w:rPr/>
      </w:pPr>
      <w:r>
        <w:rPr>
          <w:sz w:val="20"/>
        </w:rPr>
        <w:t>Свидетельство о признании иностранного образования (при необходимости) представляется в те же сроки, что и документ установленного образца;</w:t>
      </w:r>
    </w:p>
    <w:p>
      <w:pPr>
        <w:pStyle w:val="ConsPlusNormal"/>
        <w:spacing w:before="200" w:after="0"/>
        <w:ind w:firstLine="540"/>
        <w:jc w:val="both"/>
        <w:rPr/>
      </w:pPr>
      <w:r>
        <w:rPr>
          <w:sz w:val="20"/>
        </w:rPr>
        <w:t>3) документ, подтверждающий регистрацию в системе индивидуального (персонифицированного) учета (при наличии);</w:t>
      </w:r>
    </w:p>
    <w:p>
      <w:pPr>
        <w:pStyle w:val="ConsPlusNormal"/>
        <w:spacing w:before="200" w:after="0"/>
        <w:ind w:firstLine="540"/>
        <w:jc w:val="both"/>
        <w:rPr/>
      </w:pPr>
      <w:r>
        <w:rPr>
          <w:sz w:val="20"/>
        </w:rPr>
        <w:t xml:space="preserve">4) при необходимости создания для поступающего специальных условий, указанных в </w:t>
      </w:r>
      <w:hyperlink w:anchor="P203" w:tgtFrame="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
        <w:r>
          <w:rPr>
            <w:color w:val="0000FF"/>
            <w:sz w:val="20"/>
          </w:rPr>
          <w:t>пункте 36</w:t>
        </w:r>
      </w:hyperlink>
      <w:r>
        <w:rPr>
          <w:sz w:val="20"/>
        </w:rPr>
        <w:t xml:space="preserve"> Порядка, - документ, подтверждающий инвалидность, в связи с наличием которой необходимо создание указанных условий. Документ, подтверждающий инвалидность, принимается организацией, если он действителен на день подачи заявления о приеме;</w:t>
      </w:r>
    </w:p>
    <w:p>
      <w:pPr>
        <w:pStyle w:val="ConsPlusNormal"/>
        <w:spacing w:before="200" w:after="0"/>
        <w:ind w:firstLine="540"/>
        <w:jc w:val="both"/>
        <w:rPr/>
      </w:pPr>
      <w:r>
        <w:rPr>
          <w:sz w:val="20"/>
        </w:rPr>
        <w:t>5) документы, подтверждающие индивидуальные достижения поступающего, результаты которых учитываются при приеме на обучение (представляются по усмотрению поступающего);</w:t>
      </w:r>
    </w:p>
    <w:p>
      <w:pPr>
        <w:pStyle w:val="ConsPlusNormal"/>
        <w:spacing w:before="200" w:after="0"/>
        <w:ind w:firstLine="540"/>
        <w:jc w:val="both"/>
        <w:rPr/>
      </w:pPr>
      <w:r>
        <w:rPr>
          <w:sz w:val="20"/>
        </w:rPr>
        <w:t>6) иные документы (представляются по усмотрению поступающего);</w:t>
      </w:r>
    </w:p>
    <w:p>
      <w:pPr>
        <w:pStyle w:val="ConsPlusNormal"/>
        <w:spacing w:before="200" w:after="0"/>
        <w:ind w:firstLine="540"/>
        <w:jc w:val="both"/>
        <w:rPr/>
      </w:pPr>
      <w:r>
        <w:rPr>
          <w:sz w:val="20"/>
        </w:rPr>
        <w:t>7) две фотографии поступающего (по решению организации).</w:t>
      </w:r>
    </w:p>
    <w:p>
      <w:pPr>
        <w:pStyle w:val="ConsPlusNormal"/>
        <w:spacing w:before="200" w:after="0"/>
        <w:ind w:firstLine="540"/>
        <w:jc w:val="both"/>
        <w:rPr/>
      </w:pPr>
      <w:r>
        <w:rPr>
          <w:sz w:val="20"/>
        </w:rPr>
        <w:t>19. Документ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документов установленного образца включительно.</w:t>
      </w:r>
    </w:p>
    <w:p>
      <w:pPr>
        <w:pStyle w:val="ConsPlusNormal"/>
        <w:spacing w:before="200" w:after="0"/>
        <w:ind w:firstLine="540"/>
        <w:jc w:val="both"/>
        <w:rPr/>
      </w:pPr>
      <w:r>
        <w:rPr>
          <w:sz w:val="20"/>
        </w:rPr>
        <w:t>20. 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pPr>
        <w:pStyle w:val="ConsPlusNormal"/>
        <w:spacing w:before="200" w:after="0"/>
        <w:ind w:firstLine="540"/>
        <w:jc w:val="both"/>
        <w:rPr/>
      </w:pPr>
      <w:r>
        <w:rPr>
          <w:sz w:val="20"/>
        </w:rPr>
        <w:t>При подаче заявления о приеме посредством суперсервиса:</w:t>
      </w:r>
    </w:p>
    <w:p>
      <w:pPr>
        <w:pStyle w:val="ConsPlusNormal"/>
        <w:spacing w:before="200" w:after="0"/>
        <w:ind w:firstLine="540"/>
        <w:jc w:val="both"/>
        <w:rPr/>
      </w:pPr>
      <w:r>
        <w:rPr>
          <w:sz w:val="20"/>
        </w:rPr>
        <w:t>документ, удостоверяющий личность, гражданство поступающего, документ, подтверждающий регистрацию в системе индивидуального (персонифицированного) учета, считаются представленными, если информация об указанных документах подтверждена сведениями, имеющимися на ЕПГУ;</w:t>
      </w:r>
    </w:p>
    <w:p>
      <w:pPr>
        <w:pStyle w:val="ConsPlusNormal"/>
        <w:spacing w:before="200" w:after="0"/>
        <w:ind w:firstLine="540"/>
        <w:jc w:val="both"/>
        <w:rPr/>
      </w:pPr>
      <w:r>
        <w:rPr>
          <w:sz w:val="20"/>
        </w:rPr>
        <w:t>документ установленного образца считается представленным в копии, если информация о нем подтверждена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 &lt;9&gt;.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 требующих рассмотрения документа установленного образца.</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&lt;9&gt; </w:t>
      </w:r>
      <w:hyperlink r:id="rId25" w:tgtFrame="Федеральный закон от 29.12.2012 N 273-ФЗ (ред. от 14.07.2022) Об образовании в Российской Федерации">
        <w:r>
          <w:rPr>
            <w:color w:val="0000FF"/>
            <w:sz w:val="20"/>
          </w:rPr>
          <w:t>Часть 9 статьи 98</w:t>
        </w:r>
      </w:hyperlink>
      <w:r>
        <w:rPr>
          <w:sz w:val="20"/>
        </w:rPr>
        <w:t xml:space="preserve"> Федерального закона N 273-ФЗ (Собрание законодательства Российской Федерации, 2012, N 53, ст. 7598; 2021, N 18, ст. 3058).</w:t>
      </w:r>
    </w:p>
    <w:p>
      <w:pPr>
        <w:pStyle w:val="ConsPlusNormal"/>
        <w:ind w:firstLine="540"/>
        <w:jc w:val="both"/>
        <w:rPr/>
      </w:pPr>
      <w:r>
        <w:rPr/>
      </w:r>
    </w:p>
    <w:p>
      <w:pPr>
        <w:pStyle w:val="ConsPlusNormal"/>
        <w:ind w:firstLine="540"/>
        <w:jc w:val="both"/>
        <w:rPr>
          <w:highlight w:val="none"/>
          <w:shd w:fill="auto" w:val="clear"/>
        </w:rPr>
      </w:pPr>
      <w:r>
        <w:rPr>
          <w:sz w:val="20"/>
          <w:shd w:fill="auto" w:val="clear"/>
        </w:rPr>
        <w:t>21. Заявление о приеме представляется на русском языке.</w:t>
      </w:r>
    </w:p>
    <w:p>
      <w:pPr>
        <w:pStyle w:val="ConsPlusNormal"/>
        <w:spacing w:before="200" w:after="0"/>
        <w:ind w:firstLine="540"/>
        <w:jc w:val="both"/>
        <w:rPr>
          <w:highlight w:val="none"/>
          <w:shd w:fill="auto" w:val="clear"/>
        </w:rPr>
      </w:pPr>
      <w:r>
        <w:rPr>
          <w:sz w:val="20"/>
          <w:shd w:fill="auto" w:val="clear"/>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pPr>
        <w:pStyle w:val="ConsPlusNormal"/>
        <w:spacing w:before="200" w:after="0"/>
        <w:ind w:firstLine="540"/>
        <w:jc w:val="both"/>
        <w:rPr>
          <w:highlight w:val="none"/>
          <w:shd w:fill="auto" w:val="clear"/>
        </w:rPr>
      </w:pPr>
      <w:r>
        <w:rPr>
          <w:sz w:val="20"/>
          <w:shd w:fill="auto" w:val="clear"/>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pPr>
        <w:pStyle w:val="ConsPlusNormal"/>
        <w:spacing w:before="200" w:after="0"/>
        <w:ind w:firstLine="540"/>
        <w:jc w:val="both"/>
        <w:rPr>
          <w:highlight w:val="none"/>
          <w:shd w:fill="auto" w:val="clear"/>
        </w:rPr>
      </w:pPr>
      <w:r>
        <w:rPr>
          <w:sz w:val="20"/>
          <w:shd w:fill="auto" w:val="clear"/>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 &lt;10&gt;.</w:t>
      </w:r>
    </w:p>
    <w:p>
      <w:pPr>
        <w:pStyle w:val="ConsPlusNormal"/>
        <w:spacing w:before="200" w:after="0"/>
        <w:ind w:firstLine="540"/>
        <w:jc w:val="both"/>
        <w:rPr>
          <w:highlight w:val="none"/>
          <w:shd w:fill="auto" w:val="clear"/>
        </w:rPr>
      </w:pPr>
      <w:r>
        <w:rPr>
          <w:sz w:val="20"/>
          <w:shd w:fill="auto" w:val="clear"/>
        </w:rPr>
        <w:t>----------------------------</w:t>
      </w:r>
      <w:r>
        <w:rPr>
          <w:sz w:val="20"/>
          <w:shd w:fill="auto" w:val="clear"/>
        </w:rPr>
        <w:t>----</w:t>
      </w:r>
    </w:p>
    <w:p>
      <w:pPr>
        <w:pStyle w:val="ConsPlusNormal"/>
        <w:spacing w:before="200" w:after="0"/>
        <w:ind w:firstLine="540"/>
        <w:jc w:val="both"/>
        <w:rPr/>
      </w:pPr>
      <w:r>
        <w:rPr>
          <w:sz w:val="20"/>
          <w:shd w:fill="auto" w:val="clear"/>
        </w:rPr>
        <w:t xml:space="preserve">&lt;10&gt; </w:t>
      </w:r>
      <w:hyperlink r:id="rId26" w:tgtFrame="Федеральный закон от 05.05.2014 N 84-ФЗ (ред. от 26.07.2019)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w:r>
          <w:rPr>
            <w:color w:val="0000FF"/>
            <w:sz w:val="20"/>
            <w:shd w:fill="auto" w:val="clear"/>
          </w:rPr>
          <w:t>Часть 2 статьи 6</w:t>
        </w:r>
      </w:hyperlink>
      <w:r>
        <w:rPr>
          <w:sz w:val="20"/>
          <w:shd w:fill="auto" w:val="clear"/>
        </w:rP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w:t>
      </w:r>
    </w:p>
    <w:p>
      <w:pPr>
        <w:pStyle w:val="ConsPlusNormal"/>
        <w:ind w:firstLine="540"/>
        <w:jc w:val="both"/>
        <w:rPr>
          <w:highlight w:val="none"/>
          <w:shd w:fill="auto" w:val="clear"/>
        </w:rPr>
      </w:pPr>
      <w:r>
        <w:rPr>
          <w:shd w:fill="auto" w:val="clear"/>
        </w:rPr>
      </w:r>
    </w:p>
    <w:p>
      <w:pPr>
        <w:pStyle w:val="ConsPlusNormal"/>
        <w:ind w:firstLine="540"/>
        <w:jc w:val="both"/>
        <w:rPr>
          <w:highlight w:val="none"/>
          <w:shd w:fill="auto" w:val="clear"/>
        </w:rPr>
      </w:pPr>
      <w:r>
        <w:rPr>
          <w:sz w:val="20"/>
          <w:shd w:fill="auto" w:val="clear"/>
        </w:rPr>
        <w:t>22. Документы, необходимые для поступления, представляются (направляются) поступающим в организацию одним из следующих способов:</w:t>
      </w:r>
    </w:p>
    <w:p>
      <w:pPr>
        <w:pStyle w:val="ConsPlusNormal"/>
        <w:spacing w:before="200" w:after="0"/>
        <w:ind w:firstLine="540"/>
        <w:jc w:val="both"/>
        <w:rPr>
          <w:highlight w:val="none"/>
          <w:shd w:fill="auto" w:val="clear"/>
        </w:rPr>
      </w:pPr>
      <w:r>
        <w:rPr>
          <w:sz w:val="20"/>
          <w:shd w:fill="auto" w:val="clear"/>
        </w:rPr>
        <w:t>1) представляются в организацию лично поступающим;</w:t>
      </w:r>
    </w:p>
    <w:p>
      <w:pPr>
        <w:pStyle w:val="ConsPlusNormal"/>
        <w:spacing w:before="200" w:after="0"/>
        <w:ind w:firstLine="540"/>
        <w:jc w:val="both"/>
        <w:rPr>
          <w:highlight w:val="none"/>
          <w:shd w:fill="auto" w:val="clear"/>
        </w:rPr>
      </w:pPr>
      <w:r>
        <w:rPr>
          <w:sz w:val="20"/>
          <w:shd w:fill="auto" w:val="clear"/>
        </w:rPr>
        <w:t>2) направляются в организацию через операторов почтовой связи общего пользования;</w:t>
      </w:r>
    </w:p>
    <w:p>
      <w:pPr>
        <w:pStyle w:val="ConsPlusNormal"/>
        <w:spacing w:before="200" w:after="0"/>
        <w:ind w:firstLine="540"/>
        <w:jc w:val="both"/>
        <w:rPr>
          <w:highlight w:val="none"/>
          <w:shd w:fill="auto" w:val="clear"/>
        </w:rPr>
      </w:pPr>
      <w:r>
        <w:rPr>
          <w:sz w:val="20"/>
          <w:shd w:fill="auto" w:val="clear"/>
        </w:rPr>
        <w:t>3) направляются в организацию в электронной форме посредством электронной информационной системы организации, а также посредством суперсервиса (в случае его использования).</w:t>
      </w:r>
    </w:p>
    <w:p>
      <w:pPr>
        <w:pStyle w:val="ConsPlusNormal"/>
        <w:spacing w:before="200" w:after="0"/>
        <w:ind w:firstLine="540"/>
        <w:jc w:val="both"/>
        <w:rPr>
          <w:highlight w:val="none"/>
          <w:shd w:fill="auto" w:val="clear"/>
        </w:rPr>
      </w:pPr>
      <w:r>
        <w:rPr>
          <w:sz w:val="20"/>
          <w:shd w:fill="auto" w:val="clear"/>
        </w:rPr>
        <w:t>Организация обеспечивает возможность представления (направления) документов, необходимых для поступления, всеми указанными способами (посредством суперсервиса - в случае его использования).</w:t>
      </w:r>
    </w:p>
    <w:p>
      <w:pPr>
        <w:pStyle w:val="ConsPlusNormal"/>
        <w:spacing w:before="200" w:after="0"/>
        <w:ind w:firstLine="540"/>
        <w:jc w:val="both"/>
        <w:rPr>
          <w:highlight w:val="none"/>
          <w:shd w:fill="auto" w:val="clear"/>
        </w:rPr>
      </w:pPr>
      <w:r>
        <w:rPr>
          <w:sz w:val="20"/>
          <w:shd w:fill="auto" w:val="clear"/>
        </w:rPr>
        <w:t>Организация устанавливает места приема документов, представляемых поступающими лично, а также сроки приема документов, в том числе в указанных выше местах.</w:t>
      </w:r>
    </w:p>
    <w:p>
      <w:pPr>
        <w:pStyle w:val="ConsPlusNormal"/>
        <w:spacing w:before="200" w:after="0"/>
        <w:ind w:firstLine="540"/>
        <w:jc w:val="both"/>
        <w:rPr>
          <w:highlight w:val="none"/>
          <w:shd w:fill="auto" w:val="clear"/>
        </w:rPr>
      </w:pPr>
      <w:r>
        <w:rPr>
          <w:sz w:val="20"/>
          <w:shd w:fill="auto" w:val="clear"/>
        </w:rPr>
        <w:t>В случае если документы, необходимые для поступления, предс</w:t>
      </w:r>
      <w:r>
        <w:rPr>
          <w:sz w:val="20"/>
          <w:shd w:fill="auto" w:val="clear"/>
        </w:rPr>
        <w:t>тавляются в организацию лично поступающим, поступающему выдается расписка в приеме документов.</w:t>
      </w:r>
    </w:p>
    <w:p>
      <w:pPr>
        <w:pStyle w:val="ConsPlusNormal"/>
        <w:spacing w:before="200" w:after="0"/>
        <w:ind w:firstLine="540"/>
        <w:jc w:val="both"/>
        <w:rPr/>
      </w:pPr>
      <w:r>
        <w:rPr>
          <w:sz w:val="20"/>
        </w:rPr>
        <w:t>23.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pPr>
        <w:pStyle w:val="ConsPlusNormal"/>
        <w:spacing w:before="200" w:after="0"/>
        <w:ind w:firstLine="540"/>
        <w:jc w:val="both"/>
        <w:rPr/>
      </w:pPr>
      <w:r>
        <w:rPr>
          <w:sz w:val="20"/>
        </w:rPr>
        <w:t>24. Поступающий имеет право на любом этапе поступления на обучение подать заявление об отзыве поданных документов (далее - отзыв документов). 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pPr>
        <w:pStyle w:val="ConsPlusNormal"/>
        <w:spacing w:before="200" w:after="0"/>
        <w:ind w:firstLine="540"/>
        <w:jc w:val="both"/>
        <w:rPr/>
      </w:pPr>
      <w:r>
        <w:rPr>
          <w:sz w:val="20"/>
        </w:rPr>
        <w:t>Поступающий, не включенный в число зачисленных, имеет право подать заявление об отзыве оригинала документа установленного образца (представленной посредством суперсервиса уникальной информации о документе установленного образца) (далее - отзыв оригинала). При отзыве оригинала поступающий не исключается из списков лиц, подавших документы, и списков поступающих.</w:t>
      </w:r>
    </w:p>
    <w:p>
      <w:pPr>
        <w:pStyle w:val="ConsPlusNormal"/>
        <w:spacing w:before="200" w:after="0"/>
        <w:ind w:firstLine="540"/>
        <w:jc w:val="both"/>
        <w:rPr/>
      </w:pPr>
      <w:r>
        <w:rPr>
          <w:sz w:val="20"/>
        </w:rPr>
        <w:t>Организация возвращает поступающему, подавшему заявление об отзыве документов или заявление об отзыве оригинала, соответственно поданные документы в части их оригиналов или поданный оригинал документа установленного образца в срок, установленный организацией.</w:t>
      </w:r>
    </w:p>
    <w:p>
      <w:pPr>
        <w:pStyle w:val="ConsPlusNormal"/>
        <w:spacing w:before="200" w:after="0"/>
        <w:ind w:firstLine="540"/>
        <w:jc w:val="both"/>
        <w:rPr/>
      </w:pPr>
      <w:r>
        <w:rPr>
          <w:sz w:val="20"/>
        </w:rPr>
        <w:t>25. Организация возвращает поступающему, не принятому на обучение, поданные документы в части их оригиналов (при наличии) в срок, установленный организацией. В случае невозможности возврата указанных оригиналов они остаются на хранении в организации.</w:t>
      </w:r>
    </w:p>
    <w:p>
      <w:pPr>
        <w:pStyle w:val="ConsPlusNormal"/>
        <w:ind w:firstLine="540"/>
        <w:jc w:val="both"/>
        <w:rPr/>
      </w:pPr>
      <w:r>
        <w:rPr/>
      </w:r>
    </w:p>
    <w:p>
      <w:pPr>
        <w:pStyle w:val="ConsPlusTitle"/>
        <w:numPr>
          <w:ilvl w:val="0"/>
          <w:numId w:val="0"/>
        </w:numPr>
        <w:ind w:left="0" w:hanging="0"/>
        <w:jc w:val="center"/>
        <w:outlineLvl w:val="1"/>
        <w:rPr/>
      </w:pPr>
      <w:r>
        <w:rPr>
          <w:sz w:val="20"/>
        </w:rPr>
        <w:t>IV. Проведение вступительных испытаний и учет индивидуальных</w:t>
      </w:r>
    </w:p>
    <w:p>
      <w:pPr>
        <w:pStyle w:val="ConsPlusTitle"/>
        <w:jc w:val="center"/>
        <w:rPr/>
      </w:pPr>
      <w:r>
        <w:rPr>
          <w:sz w:val="20"/>
        </w:rPr>
        <w:t>достижений поступающих</w:t>
      </w:r>
    </w:p>
    <w:p>
      <w:pPr>
        <w:pStyle w:val="ConsPlusNormal"/>
        <w:jc w:val="center"/>
        <w:rPr/>
      </w:pPr>
      <w:r>
        <w:rPr/>
      </w:r>
    </w:p>
    <w:p>
      <w:pPr>
        <w:pStyle w:val="ConsPlusNormal"/>
        <w:ind w:firstLine="540"/>
        <w:jc w:val="both"/>
        <w:rPr/>
      </w:pPr>
      <w:r>
        <w:rPr>
          <w:sz w:val="20"/>
        </w:rPr>
        <w:t>26. Прием на обучение проводится по результатам вступительных испытаний, установление перечня и проведение которых осуществляется организацией самостоятельно.</w:t>
      </w:r>
    </w:p>
    <w:p>
      <w:pPr>
        <w:pStyle w:val="ConsPlusNormal"/>
        <w:spacing w:before="200" w:after="0"/>
        <w:ind w:firstLine="540"/>
        <w:jc w:val="both"/>
        <w:rPr/>
      </w:pPr>
      <w:r>
        <w:rPr>
          <w:sz w:val="20"/>
        </w:rPr>
        <w:t>Максимальное количество баллов и минимальное количество баллов для каждого вступительного испытания устанавливаются организацией самостоятельно.</w:t>
      </w:r>
    </w:p>
    <w:p>
      <w:pPr>
        <w:pStyle w:val="ConsPlusNormal"/>
        <w:spacing w:before="200" w:after="0"/>
        <w:ind w:firstLine="540"/>
        <w:jc w:val="both"/>
        <w:rPr/>
      </w:pPr>
      <w:r>
        <w:rPr>
          <w:sz w:val="20"/>
        </w:rPr>
        <w:t>27. Поступающий однократно сдает каждое вступительное испытание.</w:t>
      </w:r>
    </w:p>
    <w:p>
      <w:pPr>
        <w:pStyle w:val="ConsPlusNormal"/>
        <w:spacing w:before="200" w:after="0"/>
        <w:ind w:firstLine="540"/>
        <w:jc w:val="both"/>
        <w:rPr/>
      </w:pPr>
      <w:r>
        <w:rPr>
          <w:sz w:val="20"/>
        </w:rPr>
        <w:t>28.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pPr>
        <w:pStyle w:val="ConsPlusNormal"/>
        <w:spacing w:before="200" w:after="0"/>
        <w:ind w:firstLine="540"/>
        <w:jc w:val="both"/>
        <w:rPr/>
      </w:pPr>
      <w:r>
        <w:rPr>
          <w:sz w:val="20"/>
        </w:rPr>
        <w:t>При приеме на обучение по программам аспирантуры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pPr>
        <w:pStyle w:val="ConsPlusNormal"/>
        <w:spacing w:before="200" w:after="0"/>
        <w:ind w:firstLine="540"/>
        <w:jc w:val="both"/>
        <w:rPr/>
      </w:pPr>
      <w:r>
        <w:rPr>
          <w:sz w:val="20"/>
        </w:rPr>
        <w:t>В случае если вступительное испытание проводится на нескольких языках, поступающий выбирает один из языков.</w:t>
      </w:r>
    </w:p>
    <w:p>
      <w:pPr>
        <w:pStyle w:val="ConsPlusNormal"/>
        <w:spacing w:before="200" w:after="0"/>
        <w:ind w:firstLine="540"/>
        <w:jc w:val="both"/>
        <w:rPr/>
      </w:pPr>
      <w:r>
        <w:rPr>
          <w:sz w:val="20"/>
        </w:rPr>
        <w:t>29.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pPr>
        <w:pStyle w:val="ConsPlusNormal"/>
        <w:spacing w:before="200" w:after="0"/>
        <w:ind w:firstLine="540"/>
        <w:jc w:val="both"/>
        <w:rPr/>
      </w:pPr>
      <w:r>
        <w:rPr>
          <w:sz w:val="20"/>
        </w:rPr>
        <w:t>30.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pPr>
        <w:pStyle w:val="ConsPlusNormal"/>
        <w:spacing w:before="200" w:after="0"/>
        <w:ind w:firstLine="540"/>
        <w:jc w:val="both"/>
        <w:rPr/>
      </w:pPr>
      <w:r>
        <w:rPr>
          <w:sz w:val="20"/>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pPr>
        <w:pStyle w:val="ConsPlusNormal"/>
        <w:spacing w:before="200" w:after="0"/>
        <w:ind w:firstLine="540"/>
        <w:jc w:val="both"/>
        <w:rPr/>
      </w:pPr>
      <w:r>
        <w:rPr>
          <w:sz w:val="20"/>
        </w:rPr>
        <w:t>31.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pPr>
        <w:pStyle w:val="ConsPlusNormal"/>
        <w:spacing w:before="200" w:after="0"/>
        <w:ind w:firstLine="540"/>
        <w:jc w:val="both"/>
        <w:rPr/>
      </w:pPr>
      <w:r>
        <w:rPr>
          <w:sz w:val="20"/>
        </w:rPr>
        <w:t>32. При нарушении поступающим во время проведения вступительного испытания правил приема, утвержденных организацией,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pPr>
        <w:pStyle w:val="ConsPlusNormal"/>
        <w:spacing w:before="200" w:after="0"/>
        <w:ind w:firstLine="540"/>
        <w:jc w:val="both"/>
        <w:rPr/>
      </w:pPr>
      <w:r>
        <w:rPr>
          <w:sz w:val="20"/>
        </w:rPr>
        <w:t>33.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pPr>
        <w:pStyle w:val="ConsPlusNormal"/>
        <w:spacing w:before="200" w:after="0"/>
        <w:ind w:firstLine="540"/>
        <w:jc w:val="both"/>
        <w:rPr/>
      </w:pPr>
      <w:r>
        <w:rPr>
          <w:sz w:val="20"/>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pPr>
        <w:pStyle w:val="ConsPlusNormal"/>
        <w:spacing w:before="200" w:after="0"/>
        <w:ind w:firstLine="540"/>
        <w:jc w:val="both"/>
        <w:rPr/>
      </w:pPr>
      <w:r>
        <w:rPr>
          <w:sz w:val="20"/>
        </w:rPr>
        <w:t>34.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pPr>
        <w:pStyle w:val="ConsPlusNormal"/>
        <w:spacing w:before="200" w:after="0"/>
        <w:ind w:firstLine="540"/>
        <w:jc w:val="both"/>
        <w:rPr/>
      </w:pPr>
      <w:r>
        <w:rPr>
          <w:sz w:val="20"/>
        </w:rPr>
        <w:t>Правила подачи и рассмотрения апелляций устанавливаются организацией.</w:t>
      </w:r>
    </w:p>
    <w:p>
      <w:pPr>
        <w:pStyle w:val="ConsPlusNormal"/>
        <w:spacing w:before="200" w:after="0"/>
        <w:ind w:firstLine="540"/>
        <w:jc w:val="both"/>
        <w:rPr/>
      </w:pPr>
      <w:r>
        <w:rPr>
          <w:sz w:val="20"/>
        </w:rPr>
        <w:t>35. Перечень индивидуальных достижений, учитываемых при приеме на обучение, и порядок их учета устанавливаются организацией самостоятельно.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pPr>
        <w:pStyle w:val="ConsPlusNormal"/>
        <w:spacing w:before="200" w:after="0"/>
        <w:ind w:firstLine="540"/>
        <w:jc w:val="both"/>
        <w:rPr/>
      </w:pPr>
      <w:r>
        <w:rPr>
          <w:sz w:val="20"/>
        </w:rPr>
        <w:t>Поступающий представляет документы, подтверждающие получение результатов индивидуальных достижений.</w:t>
      </w:r>
    </w:p>
    <w:p>
      <w:pPr>
        <w:pStyle w:val="ConsPlusNormal"/>
        <w:spacing w:before="200" w:after="0"/>
        <w:ind w:firstLine="540"/>
        <w:jc w:val="both"/>
        <w:rPr/>
      </w:pPr>
      <w:r>
        <w:rPr>
          <w:sz w:val="20"/>
        </w:rPr>
        <w:t>Баллы, начисленные за индивидуальные достижения, включаются в сумму конкурсных баллов.</w:t>
      </w:r>
    </w:p>
    <w:p>
      <w:pPr>
        <w:pStyle w:val="ConsPlusNormal"/>
        <w:jc w:val="center"/>
        <w:rPr/>
      </w:pPr>
      <w:r>
        <w:rPr/>
      </w:r>
    </w:p>
    <w:p>
      <w:pPr>
        <w:pStyle w:val="ConsPlusTitle"/>
        <w:numPr>
          <w:ilvl w:val="0"/>
          <w:numId w:val="0"/>
        </w:numPr>
        <w:ind w:left="0" w:hanging="0"/>
        <w:jc w:val="center"/>
        <w:outlineLvl w:val="1"/>
        <w:rPr/>
      </w:pPr>
      <w:r>
        <w:rPr>
          <w:sz w:val="20"/>
        </w:rPr>
        <w:t>V. Особенности проведения вступительных испытаний</w:t>
      </w:r>
    </w:p>
    <w:p>
      <w:pPr>
        <w:pStyle w:val="ConsPlusTitle"/>
        <w:jc w:val="center"/>
        <w:rPr/>
      </w:pPr>
      <w:r>
        <w:rPr>
          <w:sz w:val="20"/>
        </w:rPr>
        <w:t>для инвалидов</w:t>
      </w:r>
    </w:p>
    <w:p>
      <w:pPr>
        <w:pStyle w:val="ConsPlusNormal"/>
        <w:jc w:val="center"/>
        <w:rPr/>
      </w:pPr>
      <w:r>
        <w:rPr/>
      </w:r>
      <w:bookmarkStart w:id="11" w:name="P203"/>
      <w:bookmarkStart w:id="12" w:name="P203"/>
      <w:bookmarkEnd w:id="12"/>
    </w:p>
    <w:p>
      <w:pPr>
        <w:pStyle w:val="ConsPlusNormal"/>
        <w:ind w:firstLine="540"/>
        <w:jc w:val="both"/>
        <w:rPr/>
      </w:pPr>
      <w:r>
        <w:rPr>
          <w:sz w:val="20"/>
        </w:rPr>
        <w:t>36.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bookmarkStart w:id="13" w:name="P204"/>
      <w:bookmarkEnd w:id="13"/>
    </w:p>
    <w:p>
      <w:pPr>
        <w:pStyle w:val="ConsPlusNormal"/>
        <w:spacing w:before="200" w:after="0"/>
        <w:ind w:firstLine="540"/>
        <w:jc w:val="both"/>
        <w:rPr/>
      </w:pPr>
      <w:r>
        <w:rPr>
          <w:sz w:val="20"/>
        </w:rPr>
        <w:t>37. При очном проведении вступительных испытаний в организации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pPr>
        <w:pStyle w:val="ConsPlusNormal"/>
        <w:spacing w:before="200" w:after="0"/>
        <w:ind w:firstLine="540"/>
        <w:jc w:val="both"/>
        <w:rPr/>
      </w:pPr>
      <w:r>
        <w:rPr>
          <w:sz w:val="20"/>
        </w:rPr>
        <w:t>38. Очные вступительные испытания для поступающих из числа инвалидов проводятся в отдельной аудитории.</w:t>
      </w:r>
    </w:p>
    <w:p>
      <w:pPr>
        <w:pStyle w:val="ConsPlusNormal"/>
        <w:spacing w:before="200" w:after="0"/>
        <w:ind w:firstLine="540"/>
        <w:jc w:val="both"/>
        <w:rPr/>
      </w:pPr>
      <w:r>
        <w:rPr>
          <w:sz w:val="20"/>
        </w:rPr>
        <w:t>Число поступающих из числа инвалидов в одной аудитории не должно превышать:</w:t>
      </w:r>
    </w:p>
    <w:p>
      <w:pPr>
        <w:pStyle w:val="ConsPlusNormal"/>
        <w:spacing w:before="200" w:after="0"/>
        <w:ind w:firstLine="540"/>
        <w:jc w:val="both"/>
        <w:rPr/>
      </w:pPr>
      <w:r>
        <w:rPr>
          <w:sz w:val="20"/>
        </w:rPr>
        <w:t>при сдаче вступительного испытания в письменной форме - 12 человек;</w:t>
      </w:r>
    </w:p>
    <w:p>
      <w:pPr>
        <w:pStyle w:val="ConsPlusNormal"/>
        <w:spacing w:before="200" w:after="0"/>
        <w:ind w:firstLine="540"/>
        <w:jc w:val="both"/>
        <w:rPr/>
      </w:pPr>
      <w:r>
        <w:rPr>
          <w:sz w:val="20"/>
        </w:rPr>
        <w:t>при сдаче вступительного испытания в устной форме - 6 человек.</w:t>
      </w:r>
    </w:p>
    <w:p>
      <w:pPr>
        <w:pStyle w:val="ConsPlusNormal"/>
        <w:spacing w:before="200" w:after="0"/>
        <w:ind w:firstLine="540"/>
        <w:jc w:val="both"/>
        <w:rPr/>
      </w:pPr>
      <w:r>
        <w:rPr>
          <w:sz w:val="20"/>
        </w:rPr>
        <w:t>Допускается присутствие в аудитории во время сдачи вступительного испытания большего числа поступающих из числа инвалидов, а также проведение вступительных испытаний для поступающих из числа инвалидов в одной аудитории совместно с иными поступающими, если это не создает трудностей для поступающих при сдаче вступительного испытания.</w:t>
      </w:r>
    </w:p>
    <w:p>
      <w:pPr>
        <w:pStyle w:val="ConsPlusNormal"/>
        <w:spacing w:before="200" w:after="0"/>
        <w:ind w:firstLine="540"/>
        <w:jc w:val="both"/>
        <w:rPr/>
      </w:pPr>
      <w:r>
        <w:rPr>
          <w:sz w:val="20"/>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из числа инвалидов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pPr>
        <w:pStyle w:val="ConsPlusNormal"/>
        <w:spacing w:before="200" w:after="0"/>
        <w:ind w:firstLine="540"/>
        <w:jc w:val="both"/>
        <w:rPr/>
      </w:pPr>
      <w:r>
        <w:rPr>
          <w:sz w:val="20"/>
        </w:rPr>
        <w:t>39. Продолжительность вступительного испытания для поступающих из числа инвалидов увеличивается по решению организации, но не более чем на 1,5 часа.</w:t>
      </w:r>
    </w:p>
    <w:p>
      <w:pPr>
        <w:pStyle w:val="ConsPlusNormal"/>
        <w:spacing w:before="200" w:after="0"/>
        <w:ind w:firstLine="540"/>
        <w:jc w:val="both"/>
        <w:rPr/>
      </w:pPr>
      <w:r>
        <w:rPr>
          <w:sz w:val="20"/>
        </w:rPr>
        <w:t>40. Поступающим из числа инвалидов предоставляется в доступной для них форме информация о порядке проведения вступительных испытаний.</w:t>
      </w:r>
    </w:p>
    <w:p>
      <w:pPr>
        <w:pStyle w:val="ConsPlusNormal"/>
        <w:spacing w:before="200" w:after="0"/>
        <w:ind w:firstLine="540"/>
        <w:jc w:val="both"/>
        <w:rPr/>
      </w:pPr>
      <w:r>
        <w:rPr>
          <w:sz w:val="20"/>
        </w:rPr>
        <w:t>41. Поступающие из числа инвалидов могут в процессе сдачи вступительного испытания пользоваться техническими средствами, необходимыми им в связи с их индивидуальными особенностями.</w:t>
      </w:r>
      <w:bookmarkStart w:id="14" w:name="P214"/>
      <w:bookmarkEnd w:id="14"/>
    </w:p>
    <w:p>
      <w:pPr>
        <w:pStyle w:val="ConsPlusNormal"/>
        <w:spacing w:before="200" w:after="0"/>
        <w:ind w:firstLine="540"/>
        <w:jc w:val="both"/>
        <w:rPr/>
      </w:pPr>
      <w:r>
        <w:rPr>
          <w:sz w:val="20"/>
        </w:rPr>
        <w:t>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w:t>
      </w:r>
    </w:p>
    <w:p>
      <w:pPr>
        <w:pStyle w:val="ConsPlusNormal"/>
        <w:spacing w:before="200" w:after="0"/>
        <w:ind w:firstLine="540"/>
        <w:jc w:val="both"/>
        <w:rPr/>
      </w:pPr>
      <w:r>
        <w:rPr>
          <w:sz w:val="20"/>
        </w:rPr>
        <w:t>1) для слепых:</w:t>
      </w:r>
    </w:p>
    <w:p>
      <w:pPr>
        <w:pStyle w:val="ConsPlusNormal"/>
        <w:spacing w:before="200" w:after="0"/>
        <w:ind w:firstLine="540"/>
        <w:jc w:val="both"/>
        <w:rPr/>
      </w:pPr>
      <w:r>
        <w:rPr>
          <w:sz w:val="20"/>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pPr>
        <w:pStyle w:val="ConsPlusNormal"/>
        <w:spacing w:before="200" w:after="0"/>
        <w:ind w:firstLine="540"/>
        <w:jc w:val="both"/>
        <w:rPr/>
      </w:pPr>
      <w:r>
        <w:rPr>
          <w:sz w:val="20"/>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pPr>
        <w:pStyle w:val="ConsPlusNormal"/>
        <w:spacing w:before="200" w:after="0"/>
        <w:ind w:firstLine="540"/>
        <w:jc w:val="both"/>
        <w:rPr/>
      </w:pPr>
      <w:r>
        <w:rPr>
          <w:sz w:val="20"/>
        </w:rPr>
        <w:t>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ConsPlusNormal"/>
        <w:spacing w:before="200" w:after="0"/>
        <w:ind w:firstLine="540"/>
        <w:jc w:val="both"/>
        <w:rPr/>
      </w:pPr>
      <w:r>
        <w:rPr>
          <w:sz w:val="20"/>
        </w:rPr>
        <w:t>2) для слабовидящих:</w:t>
      </w:r>
    </w:p>
    <w:p>
      <w:pPr>
        <w:pStyle w:val="ConsPlusNormal"/>
        <w:spacing w:before="200" w:after="0"/>
        <w:ind w:firstLine="540"/>
        <w:jc w:val="both"/>
        <w:rPr/>
      </w:pPr>
      <w:r>
        <w:rPr>
          <w:sz w:val="20"/>
        </w:rPr>
        <w:t>обеспечивается индивидуальное равномерное освещение не менее 300 люкс (при очном проведении вступительных испытаний);</w:t>
      </w:r>
    </w:p>
    <w:p>
      <w:pPr>
        <w:pStyle w:val="ConsPlusNormal"/>
        <w:spacing w:before="200" w:after="0"/>
        <w:ind w:firstLine="540"/>
        <w:jc w:val="both"/>
        <w:rPr/>
      </w:pPr>
      <w:r>
        <w:rPr>
          <w:sz w:val="20"/>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pPr>
        <w:pStyle w:val="ConsPlusNormal"/>
        <w:spacing w:before="200" w:after="0"/>
        <w:ind w:firstLine="540"/>
        <w:jc w:val="both"/>
        <w:rPr/>
      </w:pPr>
      <w:r>
        <w:rPr>
          <w:sz w:val="20"/>
        </w:rPr>
        <w:t>задания для выполнения, а также инструкция по порядку проведения вступительных испытаний оформляются увеличенным шрифтом;</w:t>
      </w:r>
    </w:p>
    <w:p>
      <w:pPr>
        <w:pStyle w:val="ConsPlusNormal"/>
        <w:spacing w:before="200" w:after="0"/>
        <w:ind w:firstLine="540"/>
        <w:jc w:val="both"/>
        <w:rPr/>
      </w:pPr>
      <w:r>
        <w:rPr>
          <w:sz w:val="20"/>
        </w:rPr>
        <w:t>3) для глухих и слабослышащих:</w:t>
      </w:r>
    </w:p>
    <w:p>
      <w:pPr>
        <w:pStyle w:val="ConsPlusNormal"/>
        <w:spacing w:before="200" w:after="0"/>
        <w:ind w:firstLine="540"/>
        <w:jc w:val="both"/>
        <w:rPr/>
      </w:pPr>
      <w:r>
        <w:rPr>
          <w:sz w:val="20"/>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pPr>
        <w:pStyle w:val="ConsPlusNormal"/>
        <w:spacing w:before="200" w:after="0"/>
        <w:ind w:firstLine="540"/>
        <w:jc w:val="both"/>
        <w:rPr/>
      </w:pPr>
      <w:r>
        <w:rPr>
          <w:sz w:val="20"/>
        </w:rPr>
        <w:t>предоставляются услуги сурдопереводчика;</w:t>
      </w:r>
    </w:p>
    <w:p>
      <w:pPr>
        <w:pStyle w:val="ConsPlusNormal"/>
        <w:spacing w:before="200" w:after="0"/>
        <w:ind w:firstLine="540"/>
        <w:jc w:val="both"/>
        <w:rPr/>
      </w:pPr>
      <w:r>
        <w:rPr>
          <w:sz w:val="20"/>
        </w:rPr>
        <w:t>4) для слепоглухих предоставляются услуги тифлосурдопереводчика (помимо требований, выполняемых соответственно для слепых и глухих);</w:t>
      </w:r>
    </w:p>
    <w:p>
      <w:pPr>
        <w:pStyle w:val="ConsPlusNormal"/>
        <w:spacing w:before="200" w:after="0"/>
        <w:ind w:firstLine="540"/>
        <w:jc w:val="both"/>
        <w:rPr/>
      </w:pPr>
      <w:r>
        <w:rPr>
          <w:sz w:val="20"/>
        </w:rPr>
        <w:t>5) для лиц с тяжелыми нарушениями речи, глухих, слабослышащих вступительные испытания, проводимые в устной форме, по решению организации проводятся в письменной форме;</w:t>
      </w:r>
    </w:p>
    <w:p>
      <w:pPr>
        <w:pStyle w:val="ConsPlusNormal"/>
        <w:spacing w:before="200" w:after="0"/>
        <w:ind w:firstLine="540"/>
        <w:jc w:val="both"/>
        <w:rPr/>
      </w:pPr>
      <w:r>
        <w:rPr>
          <w:sz w:val="20"/>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pPr>
        <w:pStyle w:val="ConsPlusNormal"/>
        <w:spacing w:before="200" w:after="0"/>
        <w:ind w:firstLine="540"/>
        <w:jc w:val="both"/>
        <w:rPr/>
      </w:pPr>
      <w:r>
        <w:rPr>
          <w:sz w:val="20"/>
        </w:rPr>
        <w:t>письменные задания выполняются на компьютере со специализированным программным обеспечением или надиктовываются ассистенту;</w:t>
      </w:r>
    </w:p>
    <w:p>
      <w:pPr>
        <w:pStyle w:val="ConsPlusNormal"/>
        <w:spacing w:before="200" w:after="0"/>
        <w:ind w:firstLine="540"/>
        <w:jc w:val="both"/>
        <w:rPr/>
      </w:pPr>
      <w:r>
        <w:rPr>
          <w:sz w:val="20"/>
        </w:rPr>
        <w:t>вступительные испытания, проводимые в письменной форме, по решению организации проводятся в устной форме.</w:t>
      </w:r>
    </w:p>
    <w:p>
      <w:pPr>
        <w:pStyle w:val="ConsPlusNormal"/>
        <w:spacing w:before="200" w:after="0"/>
        <w:ind w:firstLine="540"/>
        <w:jc w:val="both"/>
        <w:rPr/>
      </w:pPr>
      <w:r>
        <w:rPr>
          <w:sz w:val="20"/>
        </w:rPr>
        <w:t xml:space="preserve">43. Условия, указанные в </w:t>
      </w:r>
      <w:hyperlink w:anchor="P204" w:tgtFrame="37. При очном проведении вступительных испытаний в организации должен быть обеспечен беспрепятственный доступ поступающих из числа инвалидов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
        <w:r>
          <w:rPr>
            <w:color w:val="0000FF"/>
            <w:sz w:val="20"/>
          </w:rPr>
          <w:t>пунктах 37</w:t>
        </w:r>
      </w:hyperlink>
      <w:r>
        <w:rPr>
          <w:sz w:val="20"/>
        </w:rPr>
        <w:t xml:space="preserve"> - </w:t>
      </w:r>
      <w:hyperlink w:anchor="P214" w:tgtFrame="42.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
        <w:r>
          <w:rPr>
            <w:color w:val="0000FF"/>
            <w:sz w:val="20"/>
          </w:rPr>
          <w:t>42</w:t>
        </w:r>
      </w:hyperlink>
      <w:r>
        <w:rPr>
          <w:sz w:val="20"/>
        </w:rPr>
        <w:t xml:space="preserve"> Порядка, предоставляются поступающим из числа инвалидов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 документа, подтверждающего инвалидность, в связи с наличием которой необходимо создание указанных условий.</w:t>
      </w:r>
    </w:p>
    <w:p>
      <w:pPr>
        <w:pStyle w:val="ConsPlusNormal"/>
        <w:ind w:firstLine="540"/>
        <w:jc w:val="both"/>
        <w:rPr/>
      </w:pPr>
      <w:r>
        <w:rPr/>
      </w:r>
    </w:p>
    <w:p>
      <w:pPr>
        <w:pStyle w:val="ConsPlusTitle"/>
        <w:numPr>
          <w:ilvl w:val="0"/>
          <w:numId w:val="0"/>
        </w:numPr>
        <w:ind w:left="0" w:hanging="0"/>
        <w:jc w:val="center"/>
        <w:outlineLvl w:val="1"/>
        <w:rPr/>
      </w:pPr>
      <w:r>
        <w:rPr>
          <w:sz w:val="20"/>
        </w:rPr>
        <w:t>VI. Формирование ранжированных списков поступающих</w:t>
      </w:r>
    </w:p>
    <w:p>
      <w:pPr>
        <w:pStyle w:val="ConsPlusTitle"/>
        <w:jc w:val="center"/>
        <w:rPr/>
      </w:pPr>
      <w:r>
        <w:rPr>
          <w:sz w:val="20"/>
        </w:rPr>
        <w:t>и зачисление</w:t>
      </w:r>
    </w:p>
    <w:p>
      <w:pPr>
        <w:pStyle w:val="ConsPlusNormal"/>
        <w:jc w:val="center"/>
        <w:rPr/>
      </w:pPr>
      <w:r>
        <w:rPr/>
      </w:r>
    </w:p>
    <w:p>
      <w:pPr>
        <w:pStyle w:val="ConsPlusNormal"/>
        <w:ind w:firstLine="540"/>
        <w:jc w:val="both"/>
        <w:rPr/>
      </w:pPr>
      <w:r>
        <w:rPr>
          <w:sz w:val="20"/>
        </w:rPr>
        <w:t>44. По результатам вступительных испытаний организация формирует отдельный ранжированный список поступающих по каждому конкурсу (далее - конкурсный список), в который включаются поступающие, набравшие не менее минимального количества баллов по вступительным испытаниям. Конкурсные списки публикуются на официальном сайте и на суперсервисе (в случае установления возможности использования суперсервиса при приеме на обучение по программам аспирантуры) и обновляются ежедневно до дня, следующего за днем завершения приема документов установленного образца, включительно.</w:t>
      </w:r>
    </w:p>
    <w:p>
      <w:pPr>
        <w:pStyle w:val="ConsPlusNormal"/>
        <w:spacing w:before="200" w:after="0"/>
        <w:ind w:firstLine="540"/>
        <w:jc w:val="both"/>
        <w:rPr/>
      </w:pPr>
      <w:r>
        <w:rPr>
          <w:sz w:val="20"/>
        </w:rPr>
        <w:t>45. Конкурсный список ранжируется по следующим основаниям:</w:t>
      </w:r>
      <w:bookmarkStart w:id="15" w:name="P238"/>
      <w:bookmarkEnd w:id="15"/>
    </w:p>
    <w:p>
      <w:pPr>
        <w:pStyle w:val="ConsPlusNormal"/>
        <w:spacing w:before="200" w:after="0"/>
        <w:ind w:firstLine="540"/>
        <w:jc w:val="both"/>
        <w:rPr/>
      </w:pPr>
      <w:r>
        <w:rPr>
          <w:sz w:val="20"/>
        </w:rPr>
        <w:t>1) по убыванию суммы конкурсных баллов, исчисленной как сумма баллов за каждое вступительное испытание и за индивидуальные достижения;</w:t>
      </w:r>
      <w:bookmarkStart w:id="16" w:name="P239"/>
      <w:bookmarkEnd w:id="16"/>
    </w:p>
    <w:p>
      <w:pPr>
        <w:pStyle w:val="ConsPlusNormal"/>
        <w:spacing w:before="200" w:after="0"/>
        <w:ind w:firstLine="540"/>
        <w:jc w:val="both"/>
        <w:rPr/>
      </w:pPr>
      <w:r>
        <w:rPr>
          <w:sz w:val="20"/>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pPr>
        <w:pStyle w:val="ConsPlusNormal"/>
        <w:spacing w:before="200" w:after="0"/>
        <w:ind w:firstLine="540"/>
        <w:jc w:val="both"/>
        <w:rPr/>
      </w:pPr>
      <w:r>
        <w:rPr>
          <w:sz w:val="20"/>
        </w:rPr>
        <w:t xml:space="preserve">3) при равенстве по критериям, указанным в </w:t>
      </w:r>
      <w:hyperlink w:anchor="P238" w:tgtFrame="1) по убыванию суммы конкурсных баллов, исчисленной как сумма баллов за каждое вступительное испытание и за индивидуальные достижения;">
        <w:r>
          <w:rPr>
            <w:color w:val="0000FF"/>
            <w:sz w:val="20"/>
          </w:rPr>
          <w:t>подпунктах 1</w:t>
        </w:r>
      </w:hyperlink>
      <w:r>
        <w:rPr>
          <w:sz w:val="20"/>
        </w:rPr>
        <w:t xml:space="preserve"> и </w:t>
      </w:r>
      <w:hyperlink w:anchor="P239" w:tgtFram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w:r>
          <w:rPr>
            <w:color w:val="0000FF"/>
            <w:sz w:val="20"/>
          </w:rPr>
          <w:t>2</w:t>
        </w:r>
      </w:hyperlink>
      <w:r>
        <w:rPr>
          <w:sz w:val="20"/>
        </w:rPr>
        <w:t xml:space="preserve"> настоящего пункта, - по индивидуальным достижениям, учитываемым при равенстве поступающих по иным критериям ранжирования.</w:t>
      </w:r>
    </w:p>
    <w:p>
      <w:pPr>
        <w:pStyle w:val="ConsPlusNormal"/>
        <w:spacing w:before="200" w:after="0"/>
        <w:ind w:firstLine="540"/>
        <w:jc w:val="both"/>
        <w:rPr/>
      </w:pPr>
      <w:r>
        <w:rPr>
          <w:sz w:val="20"/>
        </w:rPr>
        <w:t>46. В конкурсном списке указываются следующие сведения по каждому поступающему:</w:t>
      </w:r>
    </w:p>
    <w:p>
      <w:pPr>
        <w:pStyle w:val="ConsPlusNormal"/>
        <w:spacing w:before="200" w:after="0"/>
        <w:ind w:firstLine="540"/>
        <w:jc w:val="both"/>
        <w:rPr/>
      </w:pPr>
      <w:r>
        <w:rPr>
          <w:sz w:val="20"/>
        </w:rPr>
        <w:t>страховой номер индивидуального лицевого счета или уникальный код, присвоенный поступающему (при отсутствии указанного индивидуального лицевого счета);</w:t>
      </w:r>
    </w:p>
    <w:p>
      <w:pPr>
        <w:pStyle w:val="ConsPlusNormal"/>
        <w:spacing w:before="200" w:after="0"/>
        <w:ind w:firstLine="540"/>
        <w:jc w:val="both"/>
        <w:rPr/>
      </w:pPr>
      <w:r>
        <w:rPr>
          <w:sz w:val="20"/>
        </w:rPr>
        <w:t>сумма конкурсных баллов (за вступительные испытания и индивидуальные достижения);</w:t>
      </w:r>
    </w:p>
    <w:p>
      <w:pPr>
        <w:pStyle w:val="ConsPlusNormal"/>
        <w:spacing w:before="200" w:after="0"/>
        <w:ind w:firstLine="540"/>
        <w:jc w:val="both"/>
        <w:rPr/>
      </w:pPr>
      <w:r>
        <w:rPr>
          <w:sz w:val="20"/>
        </w:rPr>
        <w:t>сумма баллов за вступительные испытания;</w:t>
      </w:r>
    </w:p>
    <w:p>
      <w:pPr>
        <w:pStyle w:val="ConsPlusNormal"/>
        <w:spacing w:before="200" w:after="0"/>
        <w:ind w:firstLine="540"/>
        <w:jc w:val="both"/>
        <w:rPr/>
      </w:pPr>
      <w:r>
        <w:rPr>
          <w:sz w:val="20"/>
        </w:rPr>
        <w:t>количество баллов за каждое вступительное испытание;</w:t>
      </w:r>
    </w:p>
    <w:p>
      <w:pPr>
        <w:pStyle w:val="ConsPlusNormal"/>
        <w:spacing w:before="200" w:after="0"/>
        <w:ind w:firstLine="540"/>
        <w:jc w:val="both"/>
        <w:rPr/>
      </w:pPr>
      <w:r>
        <w:rPr>
          <w:sz w:val="20"/>
        </w:rPr>
        <w:t>количество баллов за индивидуальные достижения;</w:t>
      </w:r>
    </w:p>
    <w:p>
      <w:pPr>
        <w:pStyle w:val="ConsPlusNormal"/>
        <w:spacing w:before="200" w:after="0"/>
        <w:ind w:firstLine="540"/>
        <w:jc w:val="both"/>
        <w:rPr/>
      </w:pPr>
      <w:r>
        <w:rPr>
          <w:sz w:val="20"/>
        </w:rPr>
        <w:t xml:space="preserve">наличие оригинала документа установленного образца (уникальной информации о документе установленного образца) или заявления о согласии на зачисление, представленного в соответствии с </w:t>
      </w:r>
      <w:hyperlink w:anchor="P249" w:tgtFrame="47. Организация устанавливает день завершения приема документов установленного образца, не позднее которого поступающие представляют:">
        <w:r>
          <w:rPr>
            <w:color w:val="0000FF"/>
            <w:sz w:val="20"/>
          </w:rPr>
          <w:t>пунктом 47</w:t>
        </w:r>
      </w:hyperlink>
      <w:r>
        <w:rPr>
          <w:sz w:val="20"/>
        </w:rPr>
        <w:t xml:space="preserve"> Порядка.</w:t>
      </w:r>
    </w:p>
    <w:p>
      <w:pPr>
        <w:pStyle w:val="ConsPlusNormal"/>
        <w:spacing w:before="200" w:after="0"/>
        <w:ind w:firstLine="540"/>
        <w:jc w:val="both"/>
        <w:rPr/>
      </w:pPr>
      <w:r>
        <w:rPr>
          <w:sz w:val="20"/>
        </w:rPr>
        <w:t>В конкурсном списке фамилия, имя, отчество (при наличии) поступающих не указываются.</w:t>
      </w:r>
      <w:bookmarkStart w:id="17" w:name="P249"/>
      <w:bookmarkEnd w:id="17"/>
    </w:p>
    <w:p>
      <w:pPr>
        <w:pStyle w:val="ConsPlusNormal"/>
        <w:spacing w:before="200" w:after="0"/>
        <w:ind w:firstLine="540"/>
        <w:jc w:val="both"/>
        <w:rPr/>
      </w:pPr>
      <w:r>
        <w:rPr>
          <w:sz w:val="20"/>
        </w:rPr>
        <w:t>47. Организация устанавливает день завершения приема документов установленного образца, не позднее которого поступающие представляют:</w:t>
      </w:r>
    </w:p>
    <w:p>
      <w:pPr>
        <w:pStyle w:val="ConsPlusNormal"/>
        <w:spacing w:before="200" w:after="0"/>
        <w:ind w:firstLine="540"/>
        <w:jc w:val="both"/>
        <w:rPr/>
      </w:pPr>
      <w:r>
        <w:rPr>
          <w:sz w:val="20"/>
        </w:rPr>
        <w:t>для зачисления на места в рамках контрольных цифр - оригинал документа установленного образца либо уникальную информацию о документе установленного образца посредством суперсервиса.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w:t>
      </w:r>
    </w:p>
    <w:p>
      <w:pPr>
        <w:pStyle w:val="ConsPlusNormal"/>
        <w:spacing w:before="200" w:after="0"/>
        <w:ind w:firstLine="540"/>
        <w:jc w:val="both"/>
        <w:rPr/>
      </w:pPr>
      <w:r>
        <w:rPr>
          <w:sz w:val="20"/>
        </w:rPr>
        <w:t>для зачисления на места по договорам об оказании платных образовательных услуг - оригинал документа установленного образца,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 либо заявление о согласии на зачисление при условии подтверждения информации о документе установленного образца сведениями, содержащимися в федеральной информационной системе "Федеральный реестр сведений о документах об образовании и (или) о квалификации, документах об обучении".</w:t>
      </w:r>
    </w:p>
    <w:p>
      <w:pPr>
        <w:pStyle w:val="ConsPlusNormal"/>
        <w:spacing w:before="200" w:after="0"/>
        <w:ind w:firstLine="540"/>
        <w:jc w:val="both"/>
        <w:rPr/>
      </w:pPr>
      <w:r>
        <w:rPr>
          <w:sz w:val="20"/>
        </w:rPr>
        <w:t>В день завершения приема документов установленного образца прием оригиналов документа установленного образца (уникальной информации о документе установленного образца) и заявлений о согласии на зачисление завершается не ранее 18 часов по местному времени.</w:t>
      </w:r>
    </w:p>
    <w:p>
      <w:pPr>
        <w:pStyle w:val="ConsPlusNormal"/>
        <w:spacing w:before="200" w:after="0"/>
        <w:ind w:firstLine="540"/>
        <w:jc w:val="both"/>
        <w:rPr/>
      </w:pPr>
      <w:r>
        <w:rPr>
          <w:sz w:val="20"/>
        </w:rPr>
        <w:t xml:space="preserve">48. Зачислению подлежат поступающие, представившие оригинал документа установленного образца (уникальную информацию о документе установленного образца) или заявление о согласии на зачисление в соответствии с </w:t>
      </w:r>
      <w:hyperlink w:anchor="P249" w:tgtFrame="47. Организация устанавливает день завершения приема документов установленного образца, не позднее которого поступающие представляют:">
        <w:r>
          <w:rPr>
            <w:color w:val="0000FF"/>
            <w:sz w:val="20"/>
          </w:rPr>
          <w:t>пунктом 47</w:t>
        </w:r>
      </w:hyperlink>
      <w:r>
        <w:rPr>
          <w:sz w:val="20"/>
        </w:rPr>
        <w:t xml:space="preserve"> Порядка. Зачисление проводится в соответствии с конкурсным списком до заполнения установленного количества мест.</w:t>
      </w:r>
    </w:p>
    <w:p>
      <w:pPr>
        <w:pStyle w:val="ConsPlusNormal"/>
        <w:spacing w:before="200" w:after="0"/>
        <w:ind w:firstLine="540"/>
        <w:jc w:val="both"/>
        <w:rPr/>
      </w:pPr>
      <w:r>
        <w:rPr>
          <w:sz w:val="20"/>
        </w:rPr>
        <w:t>При приеме на обучение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по состоянию на день издания приказа о зачислении.</w:t>
      </w:r>
      <w:bookmarkStart w:id="18" w:name="P255"/>
      <w:bookmarkEnd w:id="18"/>
    </w:p>
    <w:p>
      <w:pPr>
        <w:pStyle w:val="ConsPlusNormal"/>
        <w:spacing w:before="200" w:after="0"/>
        <w:ind w:firstLine="540"/>
        <w:jc w:val="both"/>
        <w:rPr/>
      </w:pPr>
      <w:r>
        <w:rPr>
          <w:sz w:val="20"/>
        </w:rPr>
        <w:t>49. Незаполненные места в пределах целевой квоты используются для зачисления лиц, поступающих на основные места в рамках контрольных цифр.</w:t>
      </w:r>
    </w:p>
    <w:p>
      <w:pPr>
        <w:pStyle w:val="ConsPlusNormal"/>
        <w:spacing w:before="200" w:after="0"/>
        <w:ind w:firstLine="540"/>
        <w:jc w:val="both"/>
        <w:rPr/>
      </w:pPr>
      <w:r>
        <w:rPr>
          <w:sz w:val="20"/>
        </w:rPr>
        <w:t>50.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pPr>
        <w:pStyle w:val="ConsPlusNormal"/>
        <w:spacing w:before="200" w:after="0"/>
        <w:ind w:firstLine="540"/>
        <w:jc w:val="both"/>
        <w:rPr/>
      </w:pPr>
      <w:r>
        <w:rPr>
          <w:sz w:val="20"/>
        </w:rPr>
        <w:t>51.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(сумму баллов за каждое вступительное испытание и за индивидуальные достижения),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не менее установленной суммы конкурсных баллов.</w:t>
      </w:r>
    </w:p>
    <w:p>
      <w:pPr>
        <w:pStyle w:val="ConsPlusNormal"/>
        <w:spacing w:before="200" w:after="0"/>
        <w:ind w:firstLine="540"/>
        <w:jc w:val="both"/>
        <w:rPr/>
      </w:pPr>
      <w:r>
        <w:rPr>
          <w:sz w:val="20"/>
        </w:rPr>
        <w:t>52. Зачисление оформляется приказом (приказами) организации о зачислении.</w:t>
      </w:r>
    </w:p>
    <w:p>
      <w:pPr>
        <w:pStyle w:val="ConsPlusNormal"/>
        <w:spacing w:before="200" w:after="0"/>
        <w:ind w:firstLine="540"/>
        <w:jc w:val="both"/>
        <w:rPr/>
      </w:pPr>
      <w:r>
        <w:rPr>
          <w:sz w:val="20"/>
        </w:rPr>
        <w:t>53. Информирование о зачислении осуществляется в порядке, установленном организацией.</w:t>
      </w:r>
    </w:p>
    <w:p>
      <w:pPr>
        <w:pStyle w:val="ConsPlusNormal"/>
        <w:spacing w:before="200" w:after="0"/>
        <w:ind w:firstLine="540"/>
        <w:jc w:val="both"/>
        <w:rPr/>
      </w:pPr>
      <w:r>
        <w:rPr>
          <w:sz w:val="20"/>
        </w:rPr>
        <w:t>54. Сведения о зачислении на обучение без указания фамилии, имени, отчества (при наличии) поступающих с указанием страхового номера индивидуального лицевого счета (при наличии) или уникального кода, присвоенного поступающему (при отсутствии указанного индивидуального лицевого счета), суммы конкурсных баллов,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w:t>
      </w:r>
    </w:p>
    <w:p>
      <w:pPr>
        <w:pStyle w:val="ConsPlusNormal"/>
        <w:ind w:firstLine="540"/>
        <w:jc w:val="both"/>
        <w:rPr/>
      </w:pPr>
      <w:r>
        <w:rPr/>
      </w:r>
    </w:p>
    <w:p>
      <w:pPr>
        <w:pStyle w:val="ConsPlusTitle"/>
        <w:numPr>
          <w:ilvl w:val="0"/>
          <w:numId w:val="0"/>
        </w:numPr>
        <w:ind w:left="0" w:hanging="0"/>
        <w:jc w:val="center"/>
        <w:outlineLvl w:val="1"/>
        <w:rPr>
          <w:highlight w:val="none"/>
          <w:shd w:fill="auto" w:val="clear"/>
        </w:rPr>
      </w:pPr>
      <w:r>
        <w:rPr>
          <w:sz w:val="20"/>
          <w:shd w:fill="auto" w:val="clear"/>
        </w:rPr>
        <w:t>VII. Особенности приема на целевое обучение</w:t>
      </w:r>
    </w:p>
    <w:p>
      <w:pPr>
        <w:pStyle w:val="ConsPlusNormal"/>
        <w:jc w:val="center"/>
        <w:rPr>
          <w:highlight w:val="none"/>
          <w:shd w:fill="auto" w:val="clear"/>
        </w:rPr>
      </w:pPr>
      <w:r>
        <w:rPr>
          <w:shd w:fill="auto" w:val="clear"/>
        </w:rPr>
      </w:r>
    </w:p>
    <w:p>
      <w:pPr>
        <w:pStyle w:val="ConsPlusNormal"/>
        <w:ind w:firstLine="540"/>
        <w:jc w:val="both"/>
        <w:rPr/>
      </w:pPr>
      <w:r>
        <w:rPr>
          <w:sz w:val="20"/>
          <w:shd w:fill="auto" w:val="clear"/>
        </w:rPr>
        <w:t xml:space="preserve">55. Организация устанавливает целевую квоту в соответствии с </w:t>
      </w:r>
      <w:hyperlink r:id="rId27" w:tgtFrame="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color w:val="0000FF"/>
            <w:sz w:val="20"/>
            <w:shd w:fill="auto" w:val="clear"/>
          </w:rPr>
          <w:t>квотой</w:t>
        </w:r>
      </w:hyperlink>
      <w:r>
        <w:rPr>
          <w:sz w:val="20"/>
          <w:shd w:fill="auto" w:val="clear"/>
        </w:rP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&lt;11&gt;, или количеством мест для приема на целевое обучение, установленным учредителем.</w:t>
      </w:r>
    </w:p>
    <w:p>
      <w:pPr>
        <w:pStyle w:val="ConsPlusNormal"/>
        <w:spacing w:before="200" w:after="0"/>
        <w:ind w:firstLine="540"/>
        <w:jc w:val="both"/>
        <w:rPr>
          <w:highlight w:val="none"/>
          <w:shd w:fill="auto" w:val="clear"/>
        </w:rPr>
      </w:pPr>
      <w:r>
        <w:rPr>
          <w:sz w:val="20"/>
          <w:shd w:fill="auto" w:val="clear"/>
        </w:rPr>
        <w:t>--------------------------------</w:t>
      </w:r>
    </w:p>
    <w:p>
      <w:pPr>
        <w:pStyle w:val="ConsPlusNormal"/>
        <w:spacing w:before="200" w:after="0"/>
        <w:ind w:firstLine="540"/>
        <w:jc w:val="both"/>
        <w:rPr/>
      </w:pPr>
      <w:r>
        <w:rPr>
          <w:sz w:val="20"/>
        </w:rPr>
        <w:t xml:space="preserve">&lt;11&gt; </w:t>
      </w:r>
      <w:hyperlink r:id="rId28" w:tgtFrame="Федеральный закон от 29.12.2012 N 273-ФЗ (ред. от 14.07.2022) Об образовании в Российской Федерации">
        <w:r>
          <w:rPr>
            <w:color w:val="0000FF"/>
            <w:sz w:val="20"/>
          </w:rPr>
          <w:t>Часть 3 статьи 71.1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ConsPlusNormal"/>
        <w:ind w:firstLine="540"/>
        <w:jc w:val="both"/>
        <w:rPr/>
      </w:pPr>
      <w:r>
        <w:rPr/>
      </w:r>
    </w:p>
    <w:p>
      <w:pPr>
        <w:pStyle w:val="ConsPlusNormal"/>
        <w:ind w:firstLine="540"/>
        <w:jc w:val="both"/>
        <w:rPr/>
      </w:pPr>
      <w:r>
        <w:rPr>
          <w:sz w:val="20"/>
        </w:rPr>
        <w:t xml:space="preserve">56. При приеме на обучение на места в пределах целевой квоты проводится конкурс по каждой научной специальности в соответствии с </w:t>
      </w:r>
      <w:hyperlink w:anchor="P80" w:tgtFrame="а) по научной специальности;">
        <w:r>
          <w:rPr>
            <w:color w:val="0000FF"/>
            <w:sz w:val="20"/>
          </w:rPr>
          <w:t>подпунктом "а" подпункта 3 пункта 7</w:t>
        </w:r>
      </w:hyperlink>
      <w:r>
        <w:rPr>
          <w:sz w:val="20"/>
        </w:rPr>
        <w:t xml:space="preserve"> Порядка.</w:t>
      </w:r>
    </w:p>
    <w:p>
      <w:pPr>
        <w:pStyle w:val="ConsPlusNormal"/>
        <w:spacing w:before="200" w:after="0"/>
        <w:ind w:firstLine="540"/>
        <w:jc w:val="both"/>
        <w:rPr/>
      </w:pPr>
      <w:r>
        <w:rPr>
          <w:sz w:val="20"/>
        </w:rPr>
        <w:t xml:space="preserve">57.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29" w:tgtFrame="Федеральный закон от 29.12.2012 N 273-ФЗ (ред. от 14.07.2022) Об образовании в Российской Федерации">
        <w:r>
          <w:rPr>
            <w:color w:val="0000FF"/>
            <w:sz w:val="20"/>
          </w:rPr>
          <w:t>части 1 статьи 71.1</w:t>
        </w:r>
      </w:hyperlink>
      <w:r>
        <w:rPr>
          <w:sz w:val="20"/>
        </w:rPr>
        <w:t xml:space="preserve"> Федерального закона N 273-ФЗ &lt;12&gt;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 &lt;13&gt;.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&lt;12&gt; Собрание законодательства Российской Федерации, 2012, N 53, ст. 7598; 2020, N 24, ст. 3738.</w:t>
      </w:r>
    </w:p>
    <w:p>
      <w:pPr>
        <w:pStyle w:val="ConsPlusNormal"/>
        <w:spacing w:before="200" w:after="0"/>
        <w:ind w:firstLine="540"/>
        <w:jc w:val="both"/>
        <w:rPr/>
      </w:pPr>
      <w:r>
        <w:rPr>
          <w:sz w:val="20"/>
        </w:rPr>
        <w:t xml:space="preserve">&lt;13&gt; </w:t>
      </w:r>
      <w:hyperlink r:id="rId30" w:tgtFrame="Федеральный закон от 29.12.2012 N 273-ФЗ (ред. от 14.07.2022) Об образовании в Российской Федерации">
        <w:r>
          <w:rPr>
            <w:color w:val="0000FF"/>
            <w:sz w:val="20"/>
          </w:rPr>
          <w:t>Часть 7 статьи 56</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ConsPlusNormal"/>
        <w:jc w:val="center"/>
        <w:rPr/>
      </w:pPr>
      <w:r>
        <w:rPr/>
      </w:r>
    </w:p>
    <w:p>
      <w:pPr>
        <w:pStyle w:val="ConsPlusNormal"/>
        <w:ind w:firstLine="540"/>
        <w:jc w:val="both"/>
        <w:rPr/>
      </w:pPr>
      <w:r>
        <w:rPr>
          <w:sz w:val="20"/>
        </w:rPr>
        <w:t xml:space="preserve">58. При подаче заявления о приеме на целевое обучение поступающий представляет помимо документов, указанных в </w:t>
      </w:r>
      <w:hyperlink w:anchor="P140" w:tgtFrame="18. При подаче заявления о приеме поступающий представляет:">
        <w:r>
          <w:rPr>
            <w:color w:val="0000FF"/>
            <w:sz w:val="20"/>
          </w:rPr>
          <w:t>пункте 18</w:t>
        </w:r>
      </w:hyperlink>
      <w:r>
        <w:rPr>
          <w:sz w:val="20"/>
        </w:rP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pPr>
        <w:pStyle w:val="ConsPlusNormal"/>
        <w:spacing w:before="200" w:after="0"/>
        <w:ind w:firstLine="540"/>
        <w:jc w:val="both"/>
        <w:rPr/>
      </w:pPr>
      <w:r>
        <w:rPr>
          <w:sz w:val="20"/>
        </w:rPr>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pPr>
        <w:pStyle w:val="ConsPlusNormal"/>
        <w:spacing w:before="200" w:after="0"/>
        <w:ind w:firstLine="540"/>
        <w:jc w:val="both"/>
        <w:rPr/>
      </w:pPr>
      <w:r>
        <w:rPr>
          <w:sz w:val="20"/>
        </w:rPr>
        <w:t>59.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&lt;14&gt; (далее - детализированная целевая квота):</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&lt;14&gt; </w:t>
      </w:r>
      <w:hyperlink r:id="rId31" w:tgtFrame="Постановление Правительства РФ от 13.10.2020 N 1681 (ред. от 31.08.2021) О целевом обучении по образовательным программам среднего профессионального и высшего образования">
        <w:r>
          <w:rPr>
            <w:color w:val="0000FF"/>
            <w:sz w:val="20"/>
          </w:rPr>
          <w:t>Пункт 8</w:t>
        </w:r>
      </w:hyperlink>
      <w:r>
        <w:rPr>
          <w:sz w:val="20"/>
        </w:rP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(Собрание законодательства Российской Федерации, 2020, N 43, ст. 6783).</w:t>
      </w:r>
    </w:p>
    <w:p>
      <w:pPr>
        <w:pStyle w:val="ConsPlusNormal"/>
        <w:ind w:firstLine="540"/>
        <w:jc w:val="both"/>
        <w:rPr/>
      </w:pPr>
      <w:r>
        <w:rPr/>
      </w:r>
    </w:p>
    <w:p>
      <w:pPr>
        <w:pStyle w:val="ConsPlusNormal"/>
        <w:ind w:firstLine="540"/>
        <w:jc w:val="both"/>
        <w:rPr/>
      </w:pPr>
      <w:r>
        <w:rPr>
          <w:sz w:val="20"/>
        </w:rPr>
        <w:t>организация проводит отдельный конкурс по каждой детализированной целевой квоте;</w:t>
      </w:r>
    </w:p>
    <w:p>
      <w:pPr>
        <w:pStyle w:val="ConsPlusNormal"/>
        <w:spacing w:before="200" w:after="0"/>
        <w:ind w:firstLine="540"/>
        <w:jc w:val="both"/>
        <w:rPr/>
      </w:pPr>
      <w:r>
        <w:rPr>
          <w:sz w:val="20"/>
        </w:rPr>
        <w:t>поступающий участвует в конкурсе по одной детализированной целевой квоте по данной научной специальности;</w:t>
      </w:r>
    </w:p>
    <w:p>
      <w:pPr>
        <w:pStyle w:val="ConsPlusNormal"/>
        <w:spacing w:before="200" w:after="0"/>
        <w:ind w:firstLine="540"/>
        <w:jc w:val="both"/>
        <w:rPr/>
      </w:pPr>
      <w:r>
        <w:rPr>
          <w:sz w:val="20"/>
        </w:rPr>
        <w:t>при наличии мест в пределах целевой квоты, в отношении которых не указаны заказчики, такие места являются детализированной целевой квотой, в конкурсе по которой участвуют поступающие, заключившие договор о целевом обучении с заказчиками, не указанными по другим детализированным целевым квотам;</w:t>
      </w:r>
    </w:p>
    <w:p>
      <w:pPr>
        <w:pStyle w:val="ConsPlusNormal"/>
        <w:spacing w:before="200" w:after="0"/>
        <w:ind w:firstLine="540"/>
        <w:jc w:val="both"/>
        <w:rPr/>
      </w:pPr>
      <w:r>
        <w:rPr>
          <w:sz w:val="20"/>
        </w:rPr>
        <w:t xml:space="preserve">незаполненные места детализированных целевых квот используются в соответствии с </w:t>
      </w:r>
      <w:hyperlink w:anchor="P255" w:tgtFrame="49. Незаполненные места в пределах целевой квоты используются для зачисления лиц, поступающих на основные места в рамках контрольных цифр.">
        <w:r>
          <w:rPr>
            <w:color w:val="0000FF"/>
            <w:sz w:val="20"/>
          </w:rPr>
          <w:t>пунктом 49</w:t>
        </w:r>
      </w:hyperlink>
      <w:r>
        <w:rPr>
          <w:sz w:val="20"/>
        </w:rPr>
        <w:t xml:space="preserve"> Порядка.</w:t>
      </w:r>
    </w:p>
    <w:p>
      <w:pPr>
        <w:pStyle w:val="ConsPlusNormal"/>
        <w:spacing w:before="200" w:after="0"/>
        <w:ind w:firstLine="540"/>
        <w:jc w:val="both"/>
        <w:rPr/>
      </w:pPr>
      <w:r>
        <w:rPr>
          <w:sz w:val="20"/>
        </w:rPr>
        <w:t>60.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pPr>
        <w:pStyle w:val="ConsPlusNormal"/>
        <w:spacing w:before="200" w:after="0"/>
        <w:ind w:firstLine="540"/>
        <w:jc w:val="both"/>
        <w:rPr/>
      </w:pPr>
      <w:r>
        <w:rPr>
          <w:sz w:val="20"/>
        </w:rPr>
        <w:t>61.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pPr>
        <w:pStyle w:val="ConsPlusNormal"/>
        <w:ind w:firstLine="540"/>
        <w:jc w:val="both"/>
        <w:rPr/>
      </w:pPr>
      <w:r>
        <w:rPr/>
      </w:r>
    </w:p>
    <w:p>
      <w:pPr>
        <w:pStyle w:val="ConsPlusTitle"/>
        <w:numPr>
          <w:ilvl w:val="0"/>
          <w:numId w:val="0"/>
        </w:numPr>
        <w:ind w:left="0" w:hanging="0"/>
        <w:jc w:val="center"/>
        <w:outlineLvl w:val="1"/>
        <w:rPr/>
      </w:pPr>
      <w:r>
        <w:rPr>
          <w:sz w:val="20"/>
        </w:rPr>
        <w:t>VIII. Особенности приема на обучение иностранных граждан</w:t>
      </w:r>
    </w:p>
    <w:p>
      <w:pPr>
        <w:pStyle w:val="ConsPlusTitle"/>
        <w:jc w:val="center"/>
        <w:rPr/>
      </w:pPr>
      <w:r>
        <w:rPr>
          <w:sz w:val="20"/>
        </w:rPr>
        <w:t>и лиц без гражданства</w:t>
      </w:r>
    </w:p>
    <w:p>
      <w:pPr>
        <w:pStyle w:val="ConsPlusNormal"/>
        <w:jc w:val="center"/>
        <w:rPr/>
      </w:pPr>
      <w:r>
        <w:rPr/>
      </w:r>
    </w:p>
    <w:p>
      <w:pPr>
        <w:pStyle w:val="ConsPlusNormal"/>
        <w:ind w:firstLine="540"/>
        <w:jc w:val="both"/>
        <w:rPr/>
      </w:pPr>
      <w:r>
        <w:rPr>
          <w:sz w:val="20"/>
        </w:rPr>
        <w:t xml:space="preserve">62.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32" w:tgtFrame="Постановление Правительства РФ от 18.12.2020 N 2150 Об установлении квоты на образование иностранных граждан и лиц без гражданства в Российской Федерации">
        <w:r>
          <w:rPr>
            <w:color w:val="0000FF"/>
            <w:sz w:val="20"/>
          </w:rPr>
          <w:t>квотой</w:t>
        </w:r>
      </w:hyperlink>
      <w:r>
        <w:rPr>
          <w:sz w:val="20"/>
        </w:rP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&lt;15&gt;.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 xml:space="preserve">&lt;15&gt; </w:t>
      </w:r>
      <w:hyperlink r:id="rId33" w:tgtFrame="Федеральный закон от 29.12.2012 N 273-ФЗ (ред. от 14.07.2022) Об образовании в Российской Федерации">
        <w:r>
          <w:rPr>
            <w:color w:val="0000FF"/>
            <w:sz w:val="20"/>
          </w:rPr>
          <w:t>Часть 3 статьи 78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ConsPlusNormal"/>
        <w:ind w:firstLine="540"/>
        <w:jc w:val="both"/>
        <w:rPr/>
      </w:pPr>
      <w:r>
        <w:rPr/>
      </w:r>
    </w:p>
    <w:p>
      <w:pPr>
        <w:pStyle w:val="ConsPlusNormal"/>
        <w:ind w:firstLine="540"/>
        <w:jc w:val="both"/>
        <w:rPr/>
      </w:pPr>
      <w:r>
        <w:rPr>
          <w:sz w:val="20"/>
        </w:rPr>
        <w:t>63.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pPr>
        <w:pStyle w:val="ConsPlusNormal"/>
        <w:spacing w:before="200" w:after="0"/>
        <w:ind w:firstLine="540"/>
        <w:jc w:val="both"/>
        <w:rPr/>
      </w:pPr>
      <w:r>
        <w:rPr>
          <w:sz w:val="20"/>
        </w:rPr>
        <w:t xml:space="preserve">64. Иностранные граждане, которые поступают на обучение на основании международных договоров, представляют помимо документов, указанных в </w:t>
      </w:r>
      <w:hyperlink w:anchor="P140" w:tgtFrame="18. При подаче заявления о приеме поступающий представляет:">
        <w:r>
          <w:rPr>
            <w:color w:val="0000FF"/>
            <w:sz w:val="20"/>
          </w:rPr>
          <w:t>пункте 18</w:t>
        </w:r>
      </w:hyperlink>
      <w:r>
        <w:rPr>
          <w:sz w:val="20"/>
        </w:rPr>
        <w:t xml:space="preserve"> Порядка, документы, подтверждающие их отнесение к числу лиц, указанных в соответствующих международных договорах.</w:t>
      </w:r>
    </w:p>
    <w:p>
      <w:pPr>
        <w:pStyle w:val="ConsPlusNormal"/>
        <w:spacing w:before="200" w:after="0"/>
        <w:ind w:firstLine="540"/>
        <w:jc w:val="both"/>
        <w:rPr/>
      </w:pPr>
      <w:r>
        <w:rPr>
          <w:sz w:val="20"/>
        </w:rPr>
        <w:t xml:space="preserve">65.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140" w:tgtFrame="18. При подаче заявления о приеме поступающий представляет:">
        <w:r>
          <w:rPr>
            <w:color w:val="0000FF"/>
            <w:sz w:val="20"/>
          </w:rPr>
          <w:t>пункте 18</w:t>
        </w:r>
      </w:hyperlink>
      <w:r>
        <w:rPr>
          <w:sz w:val="20"/>
        </w:rPr>
        <w:t xml:space="preserve"> Порядка, оригиналы или копии документов, предусмотренных </w:t>
      </w:r>
      <w:hyperlink r:id="rId34" w:tgtFrame="Федеральный закон от 24.05.1999 N 99-ФЗ (ред. от 23.07.2013) О государственной политике Российской Федерации в отношении соотечественников за рубежом">
        <w:r>
          <w:rPr>
            <w:color w:val="0000FF"/>
            <w:sz w:val="20"/>
          </w:rPr>
          <w:t>частью 6 статьи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&lt;16&gt;.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&lt;16&gt; Собрание законодательства Российской Федерации, 1999, N 22, ст. 2670; 2013, N 30, ст. 4036.</w:t>
      </w:r>
    </w:p>
    <w:p>
      <w:pPr>
        <w:pStyle w:val="ConsPlusNormal"/>
        <w:ind w:firstLine="540"/>
        <w:jc w:val="both"/>
        <w:rPr/>
      </w:pPr>
      <w:r>
        <w:rPr/>
      </w:r>
    </w:p>
    <w:p>
      <w:pPr>
        <w:pStyle w:val="ConsPlusNormal"/>
        <w:ind w:firstLine="540"/>
        <w:jc w:val="both"/>
        <w:rPr/>
      </w:pPr>
      <w:r>
        <w:rPr>
          <w:sz w:val="20"/>
        </w:rPr>
        <w:t xml:space="preserve">66. При подаче документов иностранный гражданин или лицо без гражданства представляет в соответствии с </w:t>
      </w:r>
      <w:hyperlink w:anchor="P141" w:tgtFrame="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r>
          <w:rPr>
            <w:color w:val="0000FF"/>
            <w:sz w:val="20"/>
          </w:rPr>
          <w:t>подпунктом 1 пункта 18</w:t>
        </w:r>
      </w:hyperlink>
      <w:r>
        <w:rPr>
          <w:sz w:val="20"/>
        </w:rP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35" w:tgtFrame="Федеральный закон от 25.07.2002 N 115-ФЗ (ред. от 14.07.2022) О правовом положении иностранных граждан в Российской Федерации">
        <w:r>
          <w:rPr>
            <w:color w:val="0000FF"/>
            <w:sz w:val="20"/>
          </w:rPr>
          <w:t>статьей 10</w:t>
        </w:r>
      </w:hyperlink>
      <w:r>
        <w:rPr>
          <w:sz w:val="20"/>
        </w:rPr>
        <w:t xml:space="preserve"> Федерального закона от 25 июля 2002 г. N 115-ФЗ "О правовом положении иностранных граждан в Российской Федерации" &lt;17&gt;.</w:t>
      </w:r>
    </w:p>
    <w:p>
      <w:pPr>
        <w:pStyle w:val="ConsPlusNormal"/>
        <w:spacing w:before="200" w:after="0"/>
        <w:ind w:firstLine="540"/>
        <w:jc w:val="both"/>
        <w:rPr/>
      </w:pPr>
      <w:r>
        <w:rPr>
          <w:sz w:val="20"/>
        </w:rPr>
        <w:t>--------------------------------</w:t>
      </w:r>
    </w:p>
    <w:p>
      <w:pPr>
        <w:pStyle w:val="ConsPlusNormal"/>
        <w:spacing w:before="200" w:after="0"/>
        <w:ind w:firstLine="540"/>
        <w:jc w:val="both"/>
        <w:rPr/>
      </w:pPr>
      <w:r>
        <w:rPr>
          <w:sz w:val="20"/>
        </w:rPr>
        <w:t>&lt;17&gt; Собрание законодательства Российской Федерации, 2002, N 30, ст. 3032; 2021, N 9, ст. 1475.</w:t>
      </w:r>
    </w:p>
    <w:p>
      <w:pPr>
        <w:pStyle w:val="ConsPlusNormal"/>
        <w:ind w:firstLine="540"/>
        <w:jc w:val="both"/>
        <w:rPr/>
      </w:pPr>
      <w:r>
        <w:rPr/>
      </w:r>
    </w:p>
    <w:p>
      <w:pPr>
        <w:pStyle w:val="ConsPlusNormal"/>
        <w:ind w:firstLine="540"/>
        <w:jc w:val="both"/>
        <w:rPr/>
      </w:pPr>
      <w:r>
        <w:rPr>
          <w:sz w:val="20"/>
        </w:rPr>
        <w:t>67.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pPr>
        <w:pStyle w:val="ConsPlusNormal"/>
        <w:ind w:firstLine="540"/>
        <w:jc w:val="both"/>
        <w:rPr/>
      </w:pPr>
      <w:r>
        <w:rPr/>
      </w:r>
    </w:p>
    <w:p>
      <w:pPr>
        <w:pStyle w:val="ConsPlusNormal"/>
        <w:ind w:firstLine="540"/>
        <w:jc w:val="both"/>
        <w:rPr/>
      </w:pPr>
      <w:r>
        <w:rPr/>
      </w:r>
    </w:p>
    <w:p>
      <w:pPr>
        <w:pStyle w:val="ConsPlusNormal"/>
        <w:pBdr>
          <w:bottom w:val="single" w:sz="6" w:space="0" w:color="000000"/>
        </w:pBdr>
        <w:spacing w:before="100" w:after="100"/>
        <w:jc w:val="both"/>
        <w:rPr>
          <w:sz w:val="2"/>
          <w:szCs w:val="2"/>
        </w:rPr>
      </w:pPr>
      <w:r>
        <w:rPr/>
      </w:r>
    </w:p>
    <w:sectPr>
      <w:headerReference w:type="default" r:id="rId36"/>
      <w:headerReference w:type="first" r:id="rId37"/>
      <w:footerReference w:type="default" r:id="rId38"/>
      <w:footerReference w:type="first" r:id="rId39"/>
      <w:type w:val="nextPage"/>
      <w:pgSz w:w="11906" w:h="16838"/>
      <w:pgMar w:left="1133" w:right="566" w:gutter="0" w:header="0" w:top="1440" w:footer="0" w:bottom="144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widowControl w:val="false"/>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widowControl w:val="false"/>
            <w:jc w:val="center"/>
            <w:rPr/>
          </w:pPr>
          <w:hyperlink r:id="rId1">
            <w:r>
              <w:rPr>
                <w:rFonts w:cs="Tahoma" w:ascii="Tahoma" w:hAnsi="Tahoma"/>
                <w:b/>
                <w:color w:val="0000FF"/>
              </w:rPr>
              <w:t>www.consultant.ru</w:t>
            </w:r>
          </w:hyperlink>
        </w:p>
      </w:tc>
      <w:tc>
        <w:tcPr>
          <w:tcW w:w="3403" w:type="dxa"/>
          <w:tcBorders/>
          <w:vAlign w:val="center"/>
        </w:tcPr>
        <w:p>
          <w:pPr>
            <w:pStyle w:val="ConsPlusNormal"/>
            <w:widowControl w:val="false"/>
            <w:jc w:val="right"/>
            <w:rPr/>
          </w:pPr>
          <w:r>
            <w:rPr>
              <w:rFonts w:cs="Tahoma" w:ascii="Tahoma" w:hAnsi="Tahoma"/>
            </w:rPr>
            <w:t xml:space="preserve">Страница </w:t>
          </w:r>
          <w:r>
            <w:rPr/>
            <w:fldChar w:fldCharType="begin"/>
          </w:r>
          <w:r>
            <w:rPr/>
            <w:instrText> PAGE </w:instrText>
          </w:r>
          <w:r>
            <w:rPr/>
            <w:fldChar w:fldCharType="separate"/>
          </w:r>
          <w:r>
            <w:rPr/>
            <w:t>16</w:t>
          </w:r>
          <w:r>
            <w:rPr/>
            <w:fldChar w:fldCharType="end"/>
          </w:r>
          <w:r>
            <w:rPr>
              <w:rFonts w:cs="Tahoma" w:ascii="Tahoma" w:hAnsi="Tahoma"/>
            </w:rPr>
            <w:t xml:space="preserve"> из </w:t>
          </w:r>
          <w:r>
            <w:rPr/>
            <w:fldChar w:fldCharType="begin"/>
          </w:r>
          <w:r>
            <w:rPr/>
            <w:instrText> NUMPAGES </w:instrText>
          </w:r>
          <w:r>
            <w:rPr/>
            <w:fldChar w:fldCharType="separate"/>
          </w:r>
          <w:r>
            <w:rPr/>
            <w:t>16</w:t>
          </w:r>
          <w:r>
            <w:rPr/>
            <w:fldChar w:fldCharType="end"/>
          </w:r>
        </w:p>
      </w:tc>
    </w:tr>
  </w:tbl>
  <w:p>
    <w:pPr>
      <w:pStyle w:val="ConsPlusNormal"/>
      <w:rPr/>
    </w:pPr>
    <w:r>
      <w:rPr>
        <w:sz w:val="2"/>
        <w:szCs w:val="2"/>
      </w:rPr>
      <w:t>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rPr>
        <w:sz w:val="2"/>
        <w:szCs w:val="2"/>
      </w:rPr>
    </w:pPr>
    <w:r>
      <w:rPr>
        <w:sz w:val="2"/>
        <w:szCs w:val="2"/>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tblPr>
    <w:tblGrid>
      <w:gridCol w:w="3402"/>
      <w:gridCol w:w="3402"/>
      <w:gridCol w:w="3403"/>
    </w:tblGrid>
    <w:tr>
      <w:trPr>
        <w:trHeight w:val="1663" w:hRule="exact"/>
      </w:trPr>
      <w:tc>
        <w:tcPr>
          <w:tcW w:w="3402" w:type="dxa"/>
          <w:tcBorders/>
          <w:vAlign w:val="center"/>
        </w:tcPr>
        <w:p>
          <w:pPr>
            <w:pStyle w:val="ConsPlusNormal"/>
            <w:widowControl w:val="false"/>
            <w:rPr/>
          </w:pPr>
          <w:r>
            <w:rPr>
              <w:rFonts w:cs="Tahoma" w:ascii="Tahoma" w:hAnsi="Tahoma"/>
              <w:b/>
              <w:color w:val="F58220"/>
              <w:sz w:val="28"/>
              <w:szCs w:val="28"/>
            </w:rPr>
            <w:t>КонсультантПлюс</w:t>
          </w:r>
          <w:r>
            <w:rPr>
              <w:rFonts w:cs="Tahoma" w:ascii="Tahoma" w:hAnsi="Tahoma"/>
              <w:b/>
              <w:sz w:val="16"/>
              <w:szCs w:val="16"/>
            </w:rPr>
            <w:br/>
            <w:t>надежная правовая поддержка</w:t>
          </w:r>
        </w:p>
      </w:tc>
      <w:tc>
        <w:tcPr>
          <w:tcW w:w="3402" w:type="dxa"/>
          <w:tcBorders/>
          <w:vAlign w:val="center"/>
        </w:tcPr>
        <w:p>
          <w:pPr>
            <w:pStyle w:val="ConsPlusNormal"/>
            <w:widowControl w:val="false"/>
            <w:jc w:val="center"/>
            <w:rPr/>
          </w:pPr>
          <w:hyperlink r:id="rId1">
            <w:r>
              <w:rPr>
                <w:rFonts w:cs="Tahoma" w:ascii="Tahoma" w:hAnsi="Tahoma"/>
                <w:b/>
                <w:color w:val="0000FF"/>
              </w:rPr>
              <w:t>www.consultant.ru</w:t>
            </w:r>
          </w:hyperlink>
        </w:p>
      </w:tc>
      <w:tc>
        <w:tcPr>
          <w:tcW w:w="3403" w:type="dxa"/>
          <w:tcBorders/>
          <w:vAlign w:val="center"/>
        </w:tcPr>
        <w:p>
          <w:pPr>
            <w:pStyle w:val="ConsPlusNormal"/>
            <w:widowControl w:val="false"/>
            <w:jc w:val="right"/>
            <w:rPr/>
          </w:pPr>
          <w:r>
            <w:rPr>
              <w:rFonts w:cs="Tahoma" w:ascii="Tahoma" w:hAnsi="Tahoma"/>
            </w:rPr>
            <w:t xml:space="preserve">Страница </w:t>
          </w:r>
          <w:r>
            <w:rPr/>
            <w:fldChar w:fldCharType="begin"/>
          </w:r>
          <w:r>
            <w:rPr/>
            <w:instrText> PAGE </w:instrText>
          </w:r>
          <w:r>
            <w:rPr/>
            <w:fldChar w:fldCharType="separate"/>
          </w:r>
          <w:r>
            <w:rPr/>
            <w:t>2</w:t>
          </w:r>
          <w:r>
            <w:rPr/>
            <w:fldChar w:fldCharType="end"/>
          </w:r>
          <w:r>
            <w:rPr>
              <w:rFonts w:cs="Tahoma" w:ascii="Tahoma" w:hAnsi="Tahoma"/>
            </w:rPr>
            <w:t xml:space="preserve"> из </w:t>
          </w:r>
          <w:r>
            <w:rPr/>
            <w:fldChar w:fldCharType="begin"/>
          </w:r>
          <w:r>
            <w:rPr/>
            <w:instrText> NUMPAGES </w:instrText>
          </w:r>
          <w:r>
            <w:rPr/>
            <w:fldChar w:fldCharType="separate"/>
          </w:r>
          <w:r>
            <w:rPr/>
            <w:t>16</w:t>
          </w:r>
          <w:r>
            <w:rPr/>
            <w:fldChar w:fldCharType="end"/>
          </w:r>
        </w:p>
      </w:tc>
    </w:tr>
  </w:tbl>
  <w:p>
    <w:pPr>
      <w:pStyle w:val="ConsPlusNormal"/>
      <w:rPr/>
    </w:pPr>
    <w:r>
      <w:rPr>
        <w:sz w:val="2"/>
        <w:szCs w:val="2"/>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widowControl w:val="false"/>
            <w:rPr>
              <w:rFonts w:ascii="Tahoma" w:hAnsi="Tahoma" w:cs="Tahoma"/>
            </w:rPr>
          </w:pPr>
          <w:r>
            <w:rPr>
              <w:rFonts w:cs="Tahoma" w:ascii="Tahoma" w:hAnsi="Tahoma"/>
              <w:sz w:val="16"/>
              <w:szCs w:val="16"/>
            </w:rPr>
            <w:t>Приказ Минобрнауки России от 06.08.2021 N 721</w:t>
            <w:br/>
            <w:t>"Об утверждении Порядка приема на обучение по образовательным программам в...</w:t>
          </w:r>
        </w:p>
      </w:tc>
      <w:tc>
        <w:tcPr>
          <w:tcW w:w="5103" w:type="dxa"/>
          <w:tcBorders/>
          <w:vAlign w:val="center"/>
        </w:tcPr>
        <w:p>
          <w:pPr>
            <w:pStyle w:val="ConsPlusNormal"/>
            <w:widowControl w:val="false"/>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13.09.2022</w:t>
          </w:r>
        </w:p>
      </w:tc>
    </w:tr>
  </w:tbl>
  <w:p>
    <w:pPr>
      <w:pStyle w:val="ConsPlusNormal"/>
      <w:pBdr>
        <w:bottom w:val="single" w:sz="12" w:space="0" w:color="000000"/>
      </w:pBdr>
      <w:rPr>
        <w:sz w:val="2"/>
        <w:szCs w:val="2"/>
      </w:rPr>
    </w:pPr>
    <w:r>
      <w:rPr>
        <w:sz w:val="2"/>
        <w:szCs w:val="2"/>
      </w:rPr>
    </w:r>
  </w:p>
  <w:p>
    <w:pPr>
      <w:pStyle w:val="ConsPlus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Layout w:type="fixed"/>
      <w:tblCellMar>
        <w:top w:w="0" w:type="dxa"/>
        <w:left w:w="40" w:type="dxa"/>
        <w:bottom w:w="0" w:type="dxa"/>
        <w:right w:w="40" w:type="dxa"/>
      </w:tblCellMar>
    </w:tblPr>
    <w:tblGrid>
      <w:gridCol w:w="5103"/>
      <w:gridCol w:w="5103"/>
    </w:tblGrid>
    <w:tr>
      <w:trPr>
        <w:trHeight w:val="1683" w:hRule="exact"/>
      </w:trPr>
      <w:tc>
        <w:tcPr>
          <w:tcW w:w="5103" w:type="dxa"/>
          <w:tcBorders/>
          <w:vAlign w:val="center"/>
        </w:tcPr>
        <w:p>
          <w:pPr>
            <w:pStyle w:val="ConsPlusNormal"/>
            <w:widowControl w:val="false"/>
            <w:rPr>
              <w:rFonts w:ascii="Tahoma" w:hAnsi="Tahoma" w:cs="Tahoma"/>
            </w:rPr>
          </w:pPr>
          <w:r>
            <w:rPr>
              <w:rFonts w:cs="Tahoma" w:ascii="Tahoma" w:hAnsi="Tahoma"/>
              <w:sz w:val="16"/>
              <w:szCs w:val="16"/>
            </w:rPr>
            <w:t>Приказ Минобрнауки России от 06.08.2021 N 721</w:t>
            <w:br/>
            <w:t>"Об утверждении Порядка приема на обучение по образовательным программам в...</w:t>
          </w:r>
        </w:p>
      </w:tc>
      <w:tc>
        <w:tcPr>
          <w:tcW w:w="5103" w:type="dxa"/>
          <w:tcBorders/>
          <w:vAlign w:val="center"/>
        </w:tcPr>
        <w:p>
          <w:pPr>
            <w:pStyle w:val="ConsPlusNormal"/>
            <w:widowControl w:val="false"/>
            <w:jc w:val="right"/>
            <w:rPr>
              <w:rFonts w:ascii="Tahoma" w:hAnsi="Tahoma" w:cs="Tahoma"/>
            </w:rPr>
          </w:pPr>
          <w:r>
            <w:rPr>
              <w:rFonts w:cs="Tahoma" w:ascii="Tahoma" w:hAnsi="Tahoma"/>
              <w:sz w:val="18"/>
              <w:szCs w:val="18"/>
            </w:rPr>
            <w:t xml:space="preserve">Документ предоставлен </w:t>
          </w:r>
          <w:hyperlink r:id="rId1" w:tgtFrame="КонсультантПлюс - надежная правовая система">
            <w:r>
              <w:rPr>
                <w:rFonts w:cs="Tahoma" w:ascii="Tahoma" w:hAnsi="Tahoma"/>
                <w:color w:val="0000FF"/>
                <w:sz w:val="18"/>
                <w:szCs w:val="18"/>
              </w:rPr>
              <w:t>КонсультантПлюс</w:t>
            </w:r>
          </w:hyperlink>
          <w:r>
            <w:rPr>
              <w:rFonts w:cs="Tahoma" w:ascii="Tahoma" w:hAnsi="Tahoma"/>
              <w:sz w:val="18"/>
              <w:szCs w:val="18"/>
            </w:rPr>
            <w:br/>
          </w:r>
          <w:r>
            <w:rPr>
              <w:rFonts w:cs="Tahoma" w:ascii="Tahoma" w:hAnsi="Tahoma"/>
              <w:sz w:val="16"/>
              <w:szCs w:val="16"/>
            </w:rPr>
            <w:t>Дата сохранения: 13.09.2022</w:t>
          </w:r>
        </w:p>
      </w:tc>
    </w:tr>
  </w:tbl>
  <w:p>
    <w:pPr>
      <w:pStyle w:val="ConsPlusNormal"/>
      <w:pBdr>
        <w:bottom w:val="single" w:sz="12" w:space="0" w:color="000000"/>
      </w:pBdr>
      <w:rPr>
        <w:sz w:val="2"/>
        <w:szCs w:val="2"/>
      </w:rPr>
    </w:pPr>
    <w:r>
      <w:rPr>
        <w:sz w:val="2"/>
        <w:szCs w:val="2"/>
      </w:rPr>
    </w:r>
  </w:p>
  <w:p>
    <w:pPr>
      <w:pStyle w:val="ConsPlusNormal"/>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40" w:before="0" w:after="0"/>
      <w:jc w:val="left"/>
    </w:pPr>
    <w:rPr>
      <w:rFonts w:ascii="Calibri" w:hAnsi="Calibri" w:eastAsia="NSimSun" w:cs="Arial"/>
      <w:color w:val="auto"/>
      <w:kern w:val="2"/>
      <w:sz w:val="22"/>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ConsPlusNormal" w:default="1" w:customStyle="1">
    <w:name w:val="ConsPlusNormal"/>
    <w:qFormat/>
    <w:pPr>
      <w:widowControl w:val="false"/>
      <w:suppressAutoHyphens w:val="true"/>
      <w:bidi w:val="0"/>
      <w:spacing w:lineRule="auto" w:line="240" w:before="0" w:after="0"/>
      <w:jc w:val="left"/>
    </w:pPr>
    <w:rPr>
      <w:rFonts w:ascii="Arial" w:hAnsi="Arial" w:eastAsia="NSimSun" w:cs="Arial"/>
      <w:color w:val="auto"/>
      <w:kern w:val="2"/>
      <w:sz w:val="20"/>
      <w:szCs w:val="24"/>
      <w:lang w:val="ru-RU" w:eastAsia="zh-CN" w:bidi="hi-IN"/>
    </w:rPr>
  </w:style>
  <w:style w:type="paragraph" w:styleId="ConsPlusNonformat" w:customStyle="1">
    <w:name w:val="ConsPlusNonformat"/>
    <w:qFormat/>
    <w:pPr>
      <w:widowControl w:val="false"/>
      <w:suppressAutoHyphens w:val="true"/>
      <w:bidi w:val="0"/>
      <w:spacing w:lineRule="auto" w:line="240" w:before="0" w:after="0"/>
      <w:jc w:val="left"/>
    </w:pPr>
    <w:rPr>
      <w:rFonts w:ascii="Courier New" w:hAnsi="Courier New" w:eastAsia="NSimSun" w:cs="Courier New"/>
      <w:color w:val="auto"/>
      <w:kern w:val="2"/>
      <w:sz w:val="20"/>
      <w:szCs w:val="24"/>
      <w:lang w:val="ru-RU" w:eastAsia="zh-CN" w:bidi="hi-IN"/>
    </w:rPr>
  </w:style>
  <w:style w:type="paragraph" w:styleId="ConsPlusTitle" w:customStyle="1">
    <w:name w:val="ConsPlusTitle"/>
    <w:qFormat/>
    <w:pPr>
      <w:widowControl w:val="false"/>
      <w:suppressAutoHyphens w:val="true"/>
      <w:bidi w:val="0"/>
      <w:spacing w:lineRule="auto" w:line="240" w:before="0" w:after="0"/>
      <w:jc w:val="left"/>
    </w:pPr>
    <w:rPr>
      <w:rFonts w:ascii="Arial" w:hAnsi="Arial" w:eastAsia="NSimSun" w:cs="Arial"/>
      <w:b/>
      <w:color w:val="auto"/>
      <w:kern w:val="2"/>
      <w:sz w:val="20"/>
      <w:szCs w:val="24"/>
      <w:lang w:val="ru-RU" w:eastAsia="zh-CN" w:bidi="hi-IN"/>
    </w:rPr>
  </w:style>
  <w:style w:type="paragraph" w:styleId="ConsPlusCell" w:customStyle="1">
    <w:name w:val="ConsPlusCell"/>
    <w:qFormat/>
    <w:pPr>
      <w:widowControl w:val="false"/>
      <w:suppressAutoHyphens w:val="true"/>
      <w:bidi w:val="0"/>
      <w:spacing w:lineRule="auto" w:line="240" w:before="0" w:after="0"/>
      <w:jc w:val="left"/>
    </w:pPr>
    <w:rPr>
      <w:rFonts w:ascii="Courier New" w:hAnsi="Courier New" w:eastAsia="NSimSun" w:cs="Courier New"/>
      <w:color w:val="auto"/>
      <w:kern w:val="2"/>
      <w:sz w:val="20"/>
      <w:szCs w:val="24"/>
      <w:lang w:val="ru-RU" w:eastAsia="zh-CN" w:bidi="hi-IN"/>
    </w:rPr>
  </w:style>
  <w:style w:type="paragraph" w:styleId="ConsPlusDocList" w:customStyle="1">
    <w:name w:val="ConsPlusDocList"/>
    <w:qFormat/>
    <w:pPr>
      <w:widowControl w:val="false"/>
      <w:suppressAutoHyphens w:val="true"/>
      <w:bidi w:val="0"/>
      <w:spacing w:lineRule="auto" w:line="240" w:before="0" w:after="0"/>
      <w:jc w:val="left"/>
    </w:pPr>
    <w:rPr>
      <w:rFonts w:ascii="Courier New" w:hAnsi="Courier New" w:eastAsia="NSimSun" w:cs="Courier New"/>
      <w:color w:val="auto"/>
      <w:kern w:val="2"/>
      <w:sz w:val="20"/>
      <w:szCs w:val="24"/>
      <w:lang w:val="ru-RU" w:eastAsia="zh-CN" w:bidi="hi-IN"/>
    </w:rPr>
  </w:style>
  <w:style w:type="paragraph" w:styleId="ConsPlusTitlePage" w:customStyle="1">
    <w:name w:val="ConsPlusTitlePage"/>
    <w:qFormat/>
    <w:pPr>
      <w:widowControl w:val="false"/>
      <w:suppressAutoHyphens w:val="true"/>
      <w:bidi w:val="0"/>
      <w:spacing w:lineRule="auto" w:line="240" w:before="0" w:after="0"/>
      <w:jc w:val="left"/>
    </w:pPr>
    <w:rPr>
      <w:rFonts w:ascii="Tahoma" w:hAnsi="Tahoma" w:eastAsia="NSimSun" w:cs="Tahoma"/>
      <w:color w:val="auto"/>
      <w:kern w:val="2"/>
      <w:sz w:val="20"/>
      <w:szCs w:val="24"/>
      <w:lang w:val="ru-RU" w:eastAsia="zh-CN" w:bidi="hi-IN"/>
    </w:rPr>
  </w:style>
  <w:style w:type="paragraph" w:styleId="ConsPlusJurTerm" w:customStyle="1">
    <w:name w:val="ConsPlusJurTerm"/>
    <w:qFormat/>
    <w:pPr>
      <w:widowControl w:val="false"/>
      <w:suppressAutoHyphens w:val="true"/>
      <w:bidi w:val="0"/>
      <w:spacing w:lineRule="auto" w:line="240" w:before="0" w:after="0"/>
      <w:jc w:val="left"/>
    </w:pPr>
    <w:rPr>
      <w:rFonts w:ascii="Tahoma" w:hAnsi="Tahoma" w:eastAsia="NSimSun" w:cs="Tahoma"/>
      <w:color w:val="auto"/>
      <w:kern w:val="2"/>
      <w:sz w:val="26"/>
      <w:szCs w:val="24"/>
      <w:lang w:val="ru-RU" w:eastAsia="zh-CN" w:bidi="hi-IN"/>
    </w:rPr>
  </w:style>
  <w:style w:type="paragraph" w:styleId="ConsPlusTextList" w:customStyle="1">
    <w:name w:val="ConsPlusTextList"/>
    <w:qFormat/>
    <w:pPr>
      <w:widowControl w:val="false"/>
      <w:suppressAutoHyphens w:val="true"/>
      <w:bidi w:val="0"/>
      <w:spacing w:lineRule="auto" w:line="240" w:before="0" w:after="0"/>
      <w:jc w:val="left"/>
    </w:pPr>
    <w:rPr>
      <w:rFonts w:ascii="Arial" w:hAnsi="Arial" w:eastAsia="NSimSun" w:cs="Arial"/>
      <w:color w:val="auto"/>
      <w:kern w:val="2"/>
      <w:sz w:val="20"/>
      <w:szCs w:val="24"/>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7B&#1050;&#1086;&#1085;&#1089;&#1091;&#1083;&#1100;&#1090;&#1072;&#1085;&#1090;&#1055;&#1083;&#1102;&#1089;%7D" TargetMode="External"/><Relationship Id="rId6" Type="http://schemas.openxmlformats.org/officeDocument/2006/relationships/hyperlink" Target="./%7B&#1050;&#1086;&#1085;&#1089;&#1091;&#1083;&#1100;&#1090;&#1072;&#1085;&#1090;&#1055;&#1083;&#1102;&#1089;%7D" TargetMode="External"/><Relationship Id="rId7" Type="http://schemas.openxmlformats.org/officeDocument/2006/relationships/hyperlink" Target="./%7B&#1050;&#1086;&#1085;&#1089;&#1091;&#1083;&#1100;&#1090;&#1072;&#1085;&#1090;&#1055;&#1083;&#1102;&#1089;%7D" TargetMode="External"/><Relationship Id="rId8" Type="http://schemas.openxmlformats.org/officeDocument/2006/relationships/hyperlink" Target="./%7B&#1050;&#1086;&#1085;&#1089;&#1091;&#1083;&#1100;&#1090;&#1072;&#1085;&#1090;&#1055;&#1083;&#1102;&#1089;%7D" TargetMode="External"/><Relationship Id="rId9" Type="http://schemas.openxmlformats.org/officeDocument/2006/relationships/hyperlink" Target="./%7B&#1050;&#1086;&#1085;&#1089;&#1091;&#1083;&#1100;&#1090;&#1072;&#1085;&#1090;&#1055;&#1083;&#1102;&#1089;%7D" TargetMode="External"/><Relationship Id="rId10" Type="http://schemas.openxmlformats.org/officeDocument/2006/relationships/hyperlink" Target="./%7B&#1050;&#1086;&#1085;&#1089;&#1091;&#1083;&#1100;&#1090;&#1072;&#1085;&#1090;&#1055;&#1083;&#1102;&#1089;%7D" TargetMode="External"/><Relationship Id="rId11" Type="http://schemas.openxmlformats.org/officeDocument/2006/relationships/hyperlink" Target="./%7B&#1050;&#1086;&#1085;&#1089;&#1091;&#1083;&#1100;&#1090;&#1072;&#1085;&#1090;&#1055;&#1083;&#1102;&#1089;%7D" TargetMode="External"/><Relationship Id="rId12" Type="http://schemas.openxmlformats.org/officeDocument/2006/relationships/hyperlink" Target="./%7B&#1050;&#1086;&#1085;&#1089;&#1091;&#1083;&#1100;&#1090;&#1072;&#1085;&#1090;&#1055;&#1083;&#1102;&#1089;%7D" TargetMode="External"/><Relationship Id="rId13" Type="http://schemas.openxmlformats.org/officeDocument/2006/relationships/hyperlink" Target="./%7B&#1050;&#1086;&#1085;&#1089;&#1091;&#1083;&#1100;&#1090;&#1072;&#1085;&#1090;&#1055;&#1083;&#1102;&#1089;%7D" TargetMode="External"/><Relationship Id="rId14" Type="http://schemas.openxmlformats.org/officeDocument/2006/relationships/hyperlink" Target="./%7B&#1050;&#1086;&#1085;&#1089;&#1091;&#1083;&#1100;&#1090;&#1072;&#1085;&#1090;&#1055;&#1083;&#1102;&#1089;%7D" TargetMode="External"/><Relationship Id="rId15" Type="http://schemas.openxmlformats.org/officeDocument/2006/relationships/hyperlink" Target="./%7B&#1050;&#1086;&#1085;&#1089;&#1091;&#1083;&#1100;&#1090;&#1072;&#1085;&#1090;&#1055;&#1083;&#1102;&#1089;%7D" TargetMode="External"/><Relationship Id="rId16" Type="http://schemas.openxmlformats.org/officeDocument/2006/relationships/hyperlink" Target="./%7B&#1050;&#1086;&#1085;&#1089;&#1091;&#1083;&#1100;&#1090;&#1072;&#1085;&#1090;&#1055;&#1083;&#1102;&#1089;%7D" TargetMode="External"/><Relationship Id="rId17" Type="http://schemas.openxmlformats.org/officeDocument/2006/relationships/hyperlink" Target="./%7B&#1050;&#1086;&#1085;&#1089;&#1091;&#1083;&#1100;&#1090;&#1072;&#1085;&#1090;&#1055;&#1083;&#1102;&#1089;%7D" TargetMode="External"/><Relationship Id="rId18" Type="http://schemas.openxmlformats.org/officeDocument/2006/relationships/hyperlink" Target="./%7B&#1050;&#1086;&#1085;&#1089;&#1091;&#1083;&#1100;&#1090;&#1072;&#1085;&#1090;&#1055;&#1083;&#1102;&#1089;%7D" TargetMode="External"/><Relationship Id="rId19" Type="http://schemas.openxmlformats.org/officeDocument/2006/relationships/hyperlink" Target="./%7B&#1050;&#1086;&#1085;&#1089;&#1091;&#1083;&#1100;&#1090;&#1072;&#1085;&#1090;&#1055;&#1083;&#1102;&#1089;%7D" TargetMode="External"/><Relationship Id="rId20" Type="http://schemas.openxmlformats.org/officeDocument/2006/relationships/hyperlink" Target="./%7B&#1050;&#1086;&#1085;&#1089;&#1091;&#1083;&#1100;&#1090;&#1072;&#1085;&#1090;&#1055;&#1083;&#1102;&#1089;%7D" TargetMode="External"/><Relationship Id="rId21" Type="http://schemas.openxmlformats.org/officeDocument/2006/relationships/hyperlink" Target="./%7B&#1050;&#1086;&#1085;&#1089;&#1091;&#1083;&#1100;&#1090;&#1072;&#1085;&#1090;&#1055;&#1083;&#1102;&#1089;%7D" TargetMode="External"/><Relationship Id="rId22" Type="http://schemas.openxmlformats.org/officeDocument/2006/relationships/hyperlink" Target="./%7B&#1050;&#1086;&#1085;&#1089;&#1091;&#1083;&#1100;&#1090;&#1072;&#1085;&#1090;&#1055;&#1083;&#1102;&#1089;%7D" TargetMode="External"/><Relationship Id="rId23" Type="http://schemas.openxmlformats.org/officeDocument/2006/relationships/hyperlink" Target="./%7B&#1050;&#1086;&#1085;&#1089;&#1091;&#1083;&#1100;&#1090;&#1072;&#1085;&#1090;&#1055;&#1083;&#1102;&#1089;%7D" TargetMode="External"/><Relationship Id="rId24" Type="http://schemas.openxmlformats.org/officeDocument/2006/relationships/hyperlink" Target="./%7B&#1050;&#1086;&#1085;&#1089;&#1091;&#1083;&#1100;&#1090;&#1072;&#1085;&#1090;&#1055;&#1083;&#1102;&#1089;%7D" TargetMode="External"/><Relationship Id="rId25" Type="http://schemas.openxmlformats.org/officeDocument/2006/relationships/hyperlink" Target="./%7B&#1050;&#1086;&#1085;&#1089;&#1091;&#1083;&#1100;&#1090;&#1072;&#1085;&#1090;&#1055;&#1083;&#1102;&#1089;%7D" TargetMode="External"/><Relationship Id="rId26" Type="http://schemas.openxmlformats.org/officeDocument/2006/relationships/hyperlink" Target="./%7B&#1050;&#1086;&#1085;&#1089;&#1091;&#1083;&#1100;&#1090;&#1072;&#1085;&#1090;&#1055;&#1083;&#1102;&#1089;%7D" TargetMode="External"/><Relationship Id="rId27" Type="http://schemas.openxmlformats.org/officeDocument/2006/relationships/hyperlink" Target="consultantplus://offline/ref=25E1D13AF25021D7F84D5E8D316224762C61BDA9F5DAF23115BC47264281A84C97EB3004847F32E96270D7721E4F5BE2429B69735752B530V3X9I" TargetMode="External"/><Relationship Id="rId28" Type="http://schemas.openxmlformats.org/officeDocument/2006/relationships/hyperlink" Target="./%7B&#1050;&#1086;&#1085;&#1089;&#1091;&#1083;&#1100;&#1090;&#1072;&#1085;&#1090;&#1055;&#1083;&#1102;&#1089;%7D" TargetMode="External"/><Relationship Id="rId29" Type="http://schemas.openxmlformats.org/officeDocument/2006/relationships/hyperlink" Target="./%7B&#1050;&#1086;&#1085;&#1089;&#1091;&#1083;&#1100;&#1090;&#1072;&#1085;&#1090;&#1055;&#1083;&#1102;&#1089;%7D" TargetMode="External"/><Relationship Id="rId30" Type="http://schemas.openxmlformats.org/officeDocument/2006/relationships/hyperlink" Target="./%7B&#1050;&#1086;&#1085;&#1089;&#1091;&#1083;&#1100;&#1090;&#1072;&#1085;&#1090;&#1055;&#1083;&#1102;&#1089;%7D" TargetMode="External"/><Relationship Id="rId31" Type="http://schemas.openxmlformats.org/officeDocument/2006/relationships/hyperlink" Target="./&#1055;&#1086;&#1083;&#1086;&#1078;&#1077;&#1085;&#1080;&#1077;&#1084;%20&#1086;%20&#1094;&#1077;&#1083;&#1077;&#1074;&#1086;&#1084;%20&#1086;&#1073;&#1091;&#1095;&#1077;&#1085;&#1080;&#1080;%20&#1087;&#1086;%20&#1086;&#1073;&#1088;&#1072;&#1079;&#1086;&#1074;&#1072;&#1090;&#1077;&#1083;&#1100;&#1085;&#1099;&#1084;%20&#1087;&#1088;&#1086;&#1075;&#1088;&#1072;&#1084;&#1084;&#1072;&#1084;%20&#1089;&#1088;&#1077;&#1076;&#1085;&#1077;&#1075;&#1086;%20&#1087;&#1088;&#1086;&#1092;&#1077;&#1089;&#1089;&#1080;&#1086;&#1085;&#1072;&#1083;&#1100;&#1085;&#1086;&#1075;&#1086;%20&#1080;%20&#1074;&#1099;&#1089;&#1096;&#1077;&#1075;&#1086;%20&#1086;&#1073;&#1088;&#1072;&#1079;&#1086;&#1074;&#1072;&#1085;&#1080;&#1103;%22,%20&#1055;&#1088;&#1072;&#1074;&#1080;&#1083;&#1072;&#1084;&#1080;%20&#1091;&#1089;&#1090;&#1072;&#1085;&#1086;&#1074;&#1083;&#1077;&#1085;&#1080;&#1103;%20&#1082;&#1074;&#1086;&#1090;&#1099;%20&#1087;&#1088;&#1080;&#1077;&#1084;&#1072;%20&#1085;&#1072;%20&#1094;&#1077;&#1083;&#1077;&#1074;&#1086;&#1077;%20&#1086;&#1073;&#1091;&#1095;&#1077;&#1085;&#1080;&#1077;%20&#1087;&#1086;%20&#1086;&#1073;&#1088;&#1072;&#1079;&#1086;&#1074;&#1072;&#1090;&#1077;&#1083;&#1100;&#1085;&#1099;&#1084;%20&#1087;&#1088;&#1086;&#1075;&#1088;&#1072;&#1084;&#1084;&#1072;&#1084;%20&#1074;&#1099;&#1089;&#1096;&#1077;&#1075;&#1086;%20&#1086;&#1073;&#1088;&#1072;&#1079;&#1086;&#1074;&#1072;&#1085;&#1080;&#1103;%20&#1079;&#1072;%20&#1089;&#1095;&#1077;&#1090;%20&#1073;&#1102;&#1076;&#1078;&#1077;&#1090;&#1085;&#1099;&#1093;%20&#1072;&#1089;&#1089;&#1080;&#1075;&#1085;&#1086;&#1074;&#1072;&#1085;&#1080;&#1081;%20&#1092;&#1077;&#1076;&#1077;&#1088;&#1072;&#1083;&#1100;&#1085;&#1086;&#1075;&#1086;%20&#1073;&#1102;&#1076;&#1078;&#1077;&#1090;&#1072;%22)%20%7B&#1050;&#1086;&#1085;&#1089;&#1091;&#1083;&#1100;&#1090;&#1072;&#1085;&#1090;&#1055;&#1083;&#1102;&#1089;%7D" TargetMode="External"/><Relationship Id="rId32" Type="http://schemas.openxmlformats.org/officeDocument/2006/relationships/hyperlink" Target="./%7B&#1050;&#1086;&#1085;&#1089;&#1091;&#1083;&#1100;&#1090;&#1072;&#1085;&#1090;&#1055;&#1083;&#1102;&#1089;%7D" TargetMode="External"/><Relationship Id="rId33" Type="http://schemas.openxmlformats.org/officeDocument/2006/relationships/hyperlink" Target="./%7B&#1050;&#1086;&#1085;&#1089;&#1091;&#1083;&#1100;&#1090;&#1072;&#1085;&#1090;&#1055;&#1083;&#1102;&#1089;%7D" TargetMode="External"/><Relationship Id="rId34" Type="http://schemas.openxmlformats.org/officeDocument/2006/relationships/hyperlink" Target="./%7B&#1050;&#1086;&#1085;&#1089;&#1091;&#1083;&#1100;&#1090;&#1072;&#1085;&#1090;&#1055;&#1083;&#1102;&#1089;%7D" TargetMode="External"/><Relationship Id="rId35" Type="http://schemas.openxmlformats.org/officeDocument/2006/relationships/hyperlink" Target="./%7B&#1050;&#1086;&#1085;&#1089;&#1091;&#1083;&#1100;&#1090;&#1072;&#1085;&#1090;&#1055;&#1083;&#1102;&#1089;%7D"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222</TotalTime>
  <Application>LibreOffice/7.2.3.2$Windows_X86_64 LibreOffice_project/d166454616c1632304285822f9c83ce2e660fd92</Application>
  <AppVersion>15.0000</AppVersion>
  <Pages>16</Pages>
  <Words>5768</Words>
  <Characters>41071</Characters>
  <CharactersWithSpaces>46569</CharactersWithSpaces>
  <Paragraphs>274</Paragraph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2022-09-13T08:23:21Z</dcterms:created>
  <dc:creator/>
  <dc:description/>
  <dc:language>ru-RU</dc:language>
  <cp:lastModifiedBy/>
  <dcterms:modified xsi:type="dcterms:W3CDTF">2022-09-22T16:51:32Z</dcterms:modified>
  <cp:revision>2</cp:revision>
  <dc:subject/>
  <dc:title>Приказ Минобрнауки России от 06.08.2021 N 721
"Об утверждении Порядка приема на обучение по образовательным программам высшего образования - программам подготовки научных и научно-педагогических кадров в аспирантуре"
(Зарегистрировано в Минюсте России 03.09.2021 N 64879)</dc:title>
</cp:coreProperties>
</file>

<file path=docProps/custom.xml><?xml version="1.0" encoding="utf-8"?>
<Properties xmlns="http://schemas.openxmlformats.org/officeDocument/2006/custom-properties" xmlns:vt="http://schemas.openxmlformats.org/officeDocument/2006/docPropsVTypes"/>
</file>