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График подготовки НКР аспирантов в 2022 году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tbl>
      <w:tblPr>
        <w:tblStyle w:val="a3"/>
        <w:tblW w:w="10738" w:type="dxa"/>
        <w:jc w:val="left"/>
        <w:tblInd w:w="-60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418"/>
        <w:gridCol w:w="6804"/>
        <w:gridCol w:w="2516"/>
      </w:tblGrid>
      <w:tr>
        <w:trPr/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Дата</w:t>
            </w:r>
          </w:p>
        </w:tc>
        <w:tc>
          <w:tcPr>
            <w:tcW w:w="68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Мероприятие</w:t>
            </w:r>
          </w:p>
        </w:tc>
        <w:tc>
          <w:tcPr>
            <w:tcW w:w="25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Ответственный</w:t>
            </w:r>
          </w:p>
        </w:tc>
      </w:tr>
      <w:tr>
        <w:trPr/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До 04 мая  </w:t>
            </w:r>
          </w:p>
        </w:tc>
        <w:tc>
          <w:tcPr>
            <w:tcW w:w="68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pacing w:val="34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Выполн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kern w:val="0"/>
                <w:sz w:val="24"/>
                <w:szCs w:val="24"/>
                <w:lang w:val="ru-RU" w:eastAsia="en-US" w:bidi="ar-SA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нная, полно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kern w:val="0"/>
                <w:sz w:val="24"/>
                <w:szCs w:val="24"/>
                <w:lang w:val="ru-RU" w:eastAsia="en-US" w:bidi="ar-SA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тью оформл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kern w:val="0"/>
                <w:sz w:val="24"/>
                <w:szCs w:val="24"/>
                <w:lang w:val="ru-RU" w:eastAsia="en-US" w:bidi="ar-SA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нная и подпи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kern w:val="0"/>
                <w:sz w:val="24"/>
                <w:szCs w:val="24"/>
                <w:lang w:val="ru-RU" w:eastAsia="en-US" w:bidi="ar-SA"/>
              </w:rPr>
              <w:t>са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 xml:space="preserve">нная аспирантом 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4"/>
                <w:szCs w:val="24"/>
                <w:lang w:val="ru-RU" w:eastAsia="en-US" w:bidi="ar-SA"/>
              </w:rPr>
              <w:t>НКР пр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w w:val="101"/>
                <w:kern w:val="0"/>
                <w:sz w:val="24"/>
                <w:szCs w:val="24"/>
                <w:lang w:val="ru-RU" w:eastAsia="en-US" w:bidi="ar-SA"/>
              </w:rPr>
              <w:t>е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4"/>
                <w:szCs w:val="24"/>
                <w:lang w:val="ru-RU" w:eastAsia="en-US" w:bidi="ar-SA"/>
              </w:rPr>
              <w:t>д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w w:val="101"/>
                <w:kern w:val="0"/>
                <w:sz w:val="24"/>
                <w:szCs w:val="24"/>
                <w:lang w:val="ru-RU" w:eastAsia="en-US" w:bidi="ar-SA"/>
              </w:rPr>
              <w:t>с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4"/>
                <w:szCs w:val="24"/>
                <w:lang w:val="ru-RU" w:eastAsia="en-US" w:bidi="ar-SA"/>
              </w:rPr>
              <w:t>т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w w:val="101"/>
                <w:kern w:val="0"/>
                <w:sz w:val="24"/>
                <w:szCs w:val="24"/>
                <w:lang w:val="ru-RU" w:eastAsia="en-US" w:bidi="ar-SA"/>
              </w:rPr>
              <w:t>а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4"/>
                <w:szCs w:val="24"/>
                <w:lang w:val="ru-RU" w:eastAsia="en-US" w:bidi="ar-SA"/>
              </w:rPr>
              <w:t>вл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w w:val="101"/>
                <w:kern w:val="0"/>
                <w:sz w:val="24"/>
                <w:szCs w:val="24"/>
                <w:lang w:val="ru-RU" w:eastAsia="en-US" w:bidi="ar-SA"/>
              </w:rPr>
              <w:t>яе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4"/>
                <w:szCs w:val="24"/>
                <w:lang w:val="ru-RU" w:eastAsia="en-US" w:bidi="ar-SA"/>
              </w:rPr>
              <w:t>т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w w:val="101"/>
                <w:kern w:val="0"/>
                <w:sz w:val="24"/>
                <w:szCs w:val="24"/>
                <w:lang w:val="ru-RU" w:eastAsia="en-US" w:bidi="ar-SA"/>
              </w:rPr>
              <w:t>ся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4"/>
                <w:szCs w:val="24"/>
                <w:lang w:val="ru-RU" w:eastAsia="en-US" w:bidi="ar-SA"/>
              </w:rPr>
              <w:t xml:space="preserve"> н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w w:val="101"/>
                <w:kern w:val="0"/>
                <w:sz w:val="24"/>
                <w:szCs w:val="24"/>
                <w:lang w:val="ru-RU" w:eastAsia="en-US" w:bidi="ar-SA"/>
              </w:rPr>
              <w:t>а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4"/>
                <w:szCs w:val="24"/>
                <w:lang w:val="ru-RU" w:eastAsia="en-US" w:bidi="ar-SA"/>
              </w:rPr>
              <w:t>учному руководит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w w:val="101"/>
                <w:kern w:val="0"/>
                <w:sz w:val="24"/>
                <w:szCs w:val="24"/>
                <w:lang w:val="ru-RU" w:eastAsia="en-US" w:bidi="ar-SA"/>
              </w:rPr>
              <w:t>е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4"/>
                <w:szCs w:val="24"/>
                <w:lang w:val="ru-RU" w:eastAsia="en-US" w:bidi="ar-SA"/>
              </w:rPr>
              <w:t>лю</w:t>
            </w:r>
            <w:r>
              <w:rPr>
                <w:rFonts w:eastAsia="Times New Roman" w:cs="Times New Roman" w:ascii="Times New Roman" w:hAnsi="Times New Roman"/>
                <w:color w:val="000000"/>
                <w:spacing w:val="34"/>
                <w:kern w:val="0"/>
                <w:sz w:val="24"/>
                <w:szCs w:val="24"/>
                <w:lang w:val="ru-RU" w:eastAsia="en-US" w:bidi="ar-SA"/>
              </w:rPr>
              <w:t>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Методические рекомендации по подготовке НКР:</w:t>
            </w:r>
            <w:r>
              <w:rPr>
                <w:rFonts w:eastAsia="Times New Roman" w:cs="Times New Roman" w:ascii="Times New Roman" w:hAnsi="Times New Roman"/>
                <w:color w:val="000000"/>
                <w:spacing w:val="34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hyperlink r:id="rId2">
              <w:r>
                <w:rPr>
                  <w:rFonts w:eastAsia="Calibri" w:cs="Times New Roman" w:ascii="Times New Roman" w:hAnsi="Times New Roman"/>
                  <w:kern w:val="0"/>
                  <w:sz w:val="20"/>
                  <w:szCs w:val="20"/>
                  <w:lang w:val="ru-RU" w:eastAsia="en-US" w:bidi="ar-SA"/>
                </w:rPr>
                <w:t>http://edu.ilizarov.ru/wp-content/uploads/edudocs/metodicheskie_rekomendatsii_o_podgotovke_nauchno-kvalifikatsionnoy_raboty_aspiranta_utv_06_04_2020_g.pdf</w:t>
              </w:r>
            </w:hyperlink>
          </w:p>
        </w:tc>
        <w:tc>
          <w:tcPr>
            <w:tcW w:w="25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Аспирант, научный руководитель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До 13 мая  </w:t>
            </w:r>
          </w:p>
        </w:tc>
        <w:tc>
          <w:tcPr>
            <w:tcW w:w="68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4"/>
                <w:szCs w:val="24"/>
                <w:lang w:val="ru-RU" w:eastAsia="en-US" w:bidi="ar-SA"/>
              </w:rPr>
              <w:t>Н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w w:val="101"/>
                <w:kern w:val="0"/>
                <w:sz w:val="24"/>
                <w:szCs w:val="24"/>
                <w:lang w:val="ru-RU" w:eastAsia="en-US" w:bidi="ar-SA"/>
              </w:rPr>
              <w:t>а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pacing w:val="-2"/>
                <w:kern w:val="0"/>
                <w:sz w:val="24"/>
                <w:szCs w:val="24"/>
                <w:lang w:val="ru-RU" w:eastAsia="en-US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4"/>
                <w:szCs w:val="24"/>
                <w:lang w:val="ru-RU" w:eastAsia="en-US" w:bidi="ar-SA"/>
              </w:rPr>
              <w:t>ч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pacing w:val="1"/>
                <w:kern w:val="0"/>
                <w:sz w:val="24"/>
                <w:szCs w:val="24"/>
                <w:lang w:val="ru-RU" w:eastAsia="en-US" w:bidi="ar-SA"/>
              </w:rPr>
              <w:t>н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4"/>
                <w:szCs w:val="24"/>
                <w:lang w:val="ru-RU" w:eastAsia="en-US" w:bidi="ar-SA"/>
              </w:rPr>
              <w:t>ый</w:t>
            </w:r>
            <w:r>
              <w:rPr>
                <w:rFonts w:eastAsia="Times New Roman" w:cs="Times New Roman" w:ascii="Times New Roman" w:hAnsi="Times New Roman"/>
                <w:color w:val="000000"/>
                <w:spacing w:val="38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pacing w:val="1"/>
                <w:kern w:val="0"/>
                <w:sz w:val="24"/>
                <w:szCs w:val="24"/>
                <w:lang w:val="ru-RU" w:eastAsia="en-US" w:bidi="ar-SA"/>
              </w:rPr>
              <w:t>р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pacing w:val="-1"/>
                <w:kern w:val="0"/>
                <w:sz w:val="24"/>
                <w:szCs w:val="24"/>
                <w:lang w:val="ru-RU" w:eastAsia="en-US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4"/>
                <w:szCs w:val="24"/>
                <w:lang w:val="ru-RU" w:eastAsia="en-US" w:bidi="ar-SA"/>
              </w:rPr>
              <w:t>ководит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w w:val="101"/>
                <w:kern w:val="0"/>
                <w:sz w:val="24"/>
                <w:szCs w:val="24"/>
                <w:lang w:val="ru-RU" w:eastAsia="en-US" w:bidi="ar-SA"/>
              </w:rPr>
              <w:t>е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pacing w:val="-1"/>
                <w:kern w:val="0"/>
                <w:sz w:val="24"/>
                <w:szCs w:val="24"/>
                <w:lang w:val="ru-RU" w:eastAsia="en-US" w:bidi="ar-SA"/>
              </w:rPr>
              <w:t>л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4"/>
                <w:szCs w:val="24"/>
                <w:lang w:val="ru-RU" w:eastAsia="en-US" w:bidi="ar-SA"/>
              </w:rPr>
              <w:t>ь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pacing w:val="39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kern w:val="0"/>
                <w:sz w:val="24"/>
                <w:szCs w:val="24"/>
                <w:lang w:val="ru-RU" w:eastAsia="en-US" w:bidi="ar-SA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kern w:val="0"/>
                <w:sz w:val="24"/>
                <w:szCs w:val="24"/>
                <w:lang w:val="ru-RU" w:eastAsia="en-US" w:bidi="ar-SA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kern w:val="0"/>
                <w:sz w:val="24"/>
                <w:szCs w:val="24"/>
                <w:lang w:val="ru-RU" w:eastAsia="en-US" w:bidi="ar-SA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kern w:val="0"/>
                <w:sz w:val="24"/>
                <w:szCs w:val="24"/>
                <w:lang w:val="ru-RU" w:eastAsia="en-US" w:bidi="ar-SA"/>
              </w:rPr>
              <w:t>яе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37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kern w:val="0"/>
                <w:sz w:val="24"/>
                <w:szCs w:val="24"/>
                <w:lang w:val="ru-RU" w:eastAsia="en-US" w:bidi="ar-SA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 xml:space="preserve">Р,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kern w:val="0"/>
                <w:sz w:val="24"/>
                <w:szCs w:val="24"/>
                <w:lang w:val="ru-RU" w:eastAsia="en-US" w:bidi="ar-SA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kern w:val="0"/>
                <w:sz w:val="24"/>
                <w:szCs w:val="24"/>
                <w:lang w:val="ru-RU" w:eastAsia="en-US" w:bidi="ar-SA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вит</w:t>
            </w:r>
            <w:r>
              <w:rPr>
                <w:rFonts w:eastAsia="Times New Roman" w:cs="Times New Roman" w:ascii="Times New Roman" w:hAnsi="Times New Roman"/>
                <w:color w:val="000000"/>
                <w:spacing w:val="21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kern w:val="0"/>
                <w:sz w:val="24"/>
                <w:szCs w:val="24"/>
                <w:lang w:val="ru-RU" w:eastAsia="en-US" w:bidi="ar-SA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kern w:val="0"/>
                <w:sz w:val="24"/>
                <w:szCs w:val="24"/>
                <w:lang w:val="ru-RU" w:eastAsia="en-US" w:bidi="ar-SA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ою</w:t>
            </w:r>
            <w:r>
              <w:rPr>
                <w:rFonts w:eastAsia="Times New Roman" w:cs="Times New Roman" w:ascii="Times New Roman" w:hAnsi="Times New Roman"/>
                <w:color w:val="000000"/>
                <w:spacing w:val="20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лич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kern w:val="0"/>
                <w:sz w:val="24"/>
                <w:szCs w:val="24"/>
                <w:lang w:val="ru-RU" w:eastAsia="en-US" w:bidi="ar-SA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kern w:val="0"/>
                <w:sz w:val="24"/>
                <w:szCs w:val="24"/>
                <w:lang w:val="ru-RU" w:eastAsia="en-US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ю</w:t>
            </w:r>
            <w:r>
              <w:rPr>
                <w:rFonts w:eastAsia="Times New Roman" w:cs="Times New Roman" w:ascii="Times New Roman" w:hAnsi="Times New Roman"/>
                <w:color w:val="000000"/>
                <w:spacing w:val="21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подпи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kern w:val="0"/>
                <w:sz w:val="24"/>
                <w:szCs w:val="24"/>
                <w:lang w:val="ru-RU" w:eastAsia="en-US" w:bidi="ar-SA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ь</w:t>
            </w:r>
            <w:r>
              <w:rPr>
                <w:rFonts w:eastAsia="Times New Roman" w:cs="Times New Roman" w:ascii="Times New Roman" w:hAnsi="Times New Roman"/>
                <w:color w:val="000000"/>
                <w:spacing w:val="20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kern w:val="0"/>
                <w:sz w:val="24"/>
                <w:szCs w:val="24"/>
                <w:lang w:val="ru-RU" w:eastAsia="en-US" w:bidi="ar-SA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kern w:val="0"/>
                <w:sz w:val="24"/>
                <w:szCs w:val="24"/>
                <w:lang w:val="ru-RU" w:eastAsia="en-US" w:bidi="ar-SA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21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kern w:val="0"/>
                <w:sz w:val="24"/>
                <w:szCs w:val="24"/>
                <w:lang w:val="ru-RU" w:eastAsia="en-US" w:bidi="ar-SA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kern w:val="0"/>
                <w:sz w:val="24"/>
                <w:szCs w:val="24"/>
                <w:lang w:val="ru-RU" w:eastAsia="en-US" w:bidi="ar-SA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kern w:val="0"/>
                <w:sz w:val="24"/>
                <w:szCs w:val="24"/>
                <w:lang w:val="ru-RU" w:eastAsia="en-US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kern w:val="0"/>
                <w:sz w:val="24"/>
                <w:szCs w:val="24"/>
                <w:lang w:val="ru-RU" w:eastAsia="en-US" w:bidi="ar-SA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ьн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kern w:val="0"/>
                <w:sz w:val="24"/>
                <w:szCs w:val="24"/>
                <w:lang w:val="ru-RU" w:eastAsia="en-US" w:bidi="ar-SA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21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kern w:val="0"/>
                <w:sz w:val="24"/>
                <w:szCs w:val="24"/>
                <w:lang w:val="ru-RU" w:eastAsia="en-US" w:bidi="ar-SA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kern w:val="0"/>
                <w:sz w:val="24"/>
                <w:szCs w:val="24"/>
                <w:lang w:val="ru-RU" w:eastAsia="en-US" w:bidi="ar-SA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kern w:val="0"/>
                <w:sz w:val="24"/>
                <w:szCs w:val="24"/>
                <w:lang w:val="ru-RU" w:eastAsia="en-US" w:bidi="ar-SA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19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пиш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kern w:val="0"/>
                <w:sz w:val="24"/>
                <w:szCs w:val="24"/>
                <w:lang w:val="ru-RU" w:eastAsia="en-US" w:bidi="ar-SA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18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kern w:val="0"/>
                <w:sz w:val="24"/>
                <w:szCs w:val="24"/>
                <w:lang w:val="ru-RU" w:eastAsia="en-US" w:bidi="ar-SA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фици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kern w:val="0"/>
                <w:sz w:val="24"/>
                <w:szCs w:val="24"/>
                <w:lang w:val="ru-RU" w:eastAsia="en-US" w:bidi="ar-SA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льный</w:t>
            </w:r>
            <w:r>
              <w:rPr>
                <w:rFonts w:eastAsia="Times New Roman" w:cs="Times New Roman" w:ascii="Times New Roman" w:hAnsi="Times New Roman"/>
                <w:color w:val="000000"/>
                <w:spacing w:val="19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kern w:val="0"/>
                <w:sz w:val="24"/>
                <w:szCs w:val="24"/>
                <w:lang w:val="ru-RU" w:eastAsia="en-US" w:bidi="ar-SA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тзыв</w:t>
            </w:r>
            <w:r>
              <w:rPr>
                <w:rFonts w:eastAsia="Times New Roman" w:cs="Times New Roman" w:ascii="Times New Roman" w:hAnsi="Times New Roman"/>
                <w:color w:val="000000"/>
                <w:spacing w:val="18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kern w:val="0"/>
                <w:sz w:val="24"/>
                <w:szCs w:val="24"/>
                <w:lang w:val="ru-RU" w:eastAsia="en-US" w:bidi="ar-SA"/>
              </w:rPr>
              <w:t>и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4"/>
                <w:szCs w:val="24"/>
                <w:lang w:val="ru-RU" w:eastAsia="en-US" w:bidi="ar-SA"/>
              </w:rPr>
              <w:t xml:space="preserve"> п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w w:val="101"/>
                <w:kern w:val="0"/>
                <w:sz w:val="24"/>
                <w:szCs w:val="24"/>
                <w:lang w:val="ru-RU" w:eastAsia="en-US" w:bidi="ar-SA"/>
              </w:rPr>
              <w:t>е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4"/>
                <w:szCs w:val="24"/>
                <w:lang w:val="ru-RU" w:eastAsia="en-US" w:bidi="ar-SA"/>
              </w:rPr>
              <w:t>р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w w:val="101"/>
                <w:kern w:val="0"/>
                <w:sz w:val="24"/>
                <w:szCs w:val="24"/>
                <w:lang w:val="ru-RU" w:eastAsia="en-US" w:bidi="ar-SA"/>
              </w:rPr>
              <w:t>е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pacing w:val="-2"/>
                <w:kern w:val="0"/>
                <w:sz w:val="24"/>
                <w:szCs w:val="24"/>
                <w:lang w:val="ru-RU" w:eastAsia="en-US" w:bidi="ar-SA"/>
              </w:rPr>
              <w:t>д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w w:val="101"/>
                <w:kern w:val="0"/>
                <w:sz w:val="24"/>
                <w:szCs w:val="24"/>
                <w:lang w:val="ru-RU" w:eastAsia="en-US" w:bidi="ar-SA"/>
              </w:rPr>
              <w:t>ае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4"/>
                <w:szCs w:val="24"/>
                <w:lang w:val="ru-RU" w:eastAsia="en-US" w:bidi="ar-SA"/>
              </w:rPr>
              <w:t xml:space="preserve">т 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w w:val="101"/>
                <w:kern w:val="0"/>
                <w:sz w:val="24"/>
                <w:szCs w:val="24"/>
                <w:lang w:val="ru-RU" w:eastAsia="en-US" w:bidi="ar-SA"/>
              </w:rPr>
              <w:t>НКР вместе с отзывом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pacing w:val="-1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4"/>
                <w:szCs w:val="24"/>
                <w:lang w:val="ru-RU" w:eastAsia="en-US" w:bidi="ar-SA"/>
              </w:rPr>
              <w:t>в учебный отдел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 xml:space="preserve">  </w:t>
            </w:r>
          </w:p>
        </w:tc>
        <w:tc>
          <w:tcPr>
            <w:tcW w:w="25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Научный руководитель</w:t>
            </w:r>
          </w:p>
        </w:tc>
      </w:tr>
      <w:tr>
        <w:trPr/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16-17 мая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</w:p>
        </w:tc>
        <w:tc>
          <w:tcPr>
            <w:tcW w:w="68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color w:val="000000"/>
                <w:spacing w:val="205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4"/>
                <w:szCs w:val="24"/>
                <w:lang w:val="ru-RU" w:eastAsia="en-US" w:bidi="ar-SA"/>
              </w:rPr>
              <w:t>Назначение рецензентов, рассылка НКР.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pacing w:val="2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Со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kern w:val="0"/>
                <w:sz w:val="24"/>
                <w:szCs w:val="24"/>
                <w:lang w:val="ru-RU" w:eastAsia="en-US" w:bidi="ar-SA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kern w:val="0"/>
                <w:sz w:val="24"/>
                <w:szCs w:val="24"/>
                <w:lang w:val="ru-RU" w:eastAsia="en-US" w:bidi="ar-SA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kern w:val="0"/>
                <w:sz w:val="24"/>
                <w:szCs w:val="24"/>
                <w:lang w:val="ru-RU" w:eastAsia="en-US" w:bidi="ar-SA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2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kern w:val="0"/>
                <w:sz w:val="24"/>
                <w:szCs w:val="24"/>
                <w:lang w:val="ru-RU" w:eastAsia="en-US" w:bidi="ar-SA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ц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kern w:val="0"/>
                <w:sz w:val="24"/>
                <w:szCs w:val="24"/>
                <w:lang w:val="ru-RU" w:eastAsia="en-US" w:bidi="ar-SA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kern w:val="0"/>
                <w:sz w:val="24"/>
                <w:szCs w:val="24"/>
                <w:lang w:val="ru-RU" w:eastAsia="en-US" w:bidi="ar-SA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kern w:val="0"/>
                <w:sz w:val="24"/>
                <w:szCs w:val="24"/>
                <w:lang w:val="ru-RU" w:eastAsia="en-US" w:bidi="ar-SA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kern w:val="0"/>
                <w:sz w:val="24"/>
                <w:szCs w:val="24"/>
                <w:lang w:val="ru-RU" w:eastAsia="en-US" w:bidi="ar-SA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ов (не менее 2-х) назначается</w:t>
            </w:r>
            <w:r>
              <w:rPr>
                <w:rFonts w:eastAsia="Times New Roman" w:cs="Times New Roman" w:ascii="Times New Roman" w:hAnsi="Times New Roman"/>
                <w:color w:val="000000"/>
                <w:spacing w:val="102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kern w:val="0"/>
                <w:sz w:val="24"/>
                <w:szCs w:val="24"/>
                <w:lang w:val="ru-RU" w:eastAsia="en-US" w:bidi="ar-SA"/>
              </w:rPr>
              <w:t xml:space="preserve">заместителем директора по научной работе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 xml:space="preserve">по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kern w:val="0"/>
                <w:sz w:val="24"/>
                <w:szCs w:val="24"/>
                <w:lang w:val="ru-RU" w:eastAsia="en-US" w:bidi="ar-SA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огл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kern w:val="0"/>
                <w:sz w:val="24"/>
                <w:szCs w:val="24"/>
                <w:lang w:val="ru-RU" w:eastAsia="en-US" w:bidi="ar-SA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kern w:val="0"/>
                <w:sz w:val="24"/>
                <w:szCs w:val="24"/>
                <w:lang w:val="ru-RU" w:eastAsia="en-US" w:bidi="ar-SA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kern w:val="0"/>
                <w:sz w:val="24"/>
                <w:szCs w:val="24"/>
                <w:lang w:val="ru-RU" w:eastAsia="en-US" w:bidi="ar-SA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kern w:val="0"/>
                <w:sz w:val="24"/>
                <w:szCs w:val="24"/>
                <w:lang w:val="ru-RU" w:eastAsia="en-US" w:bidi="ar-SA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нию</w:t>
            </w:r>
            <w:r>
              <w:rPr>
                <w:rFonts w:eastAsia="Times New Roman" w:cs="Times New Roman" w:ascii="Times New Roman" w:hAnsi="Times New Roman"/>
                <w:color w:val="000000"/>
                <w:spacing w:val="101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kern w:val="0"/>
                <w:sz w:val="24"/>
                <w:szCs w:val="24"/>
                <w:lang w:val="ru-RU" w:eastAsia="en-US" w:bidi="ar-SA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 xml:space="preserve"> н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kern w:val="0"/>
                <w:sz w:val="24"/>
                <w:szCs w:val="24"/>
                <w:lang w:val="ru-RU" w:eastAsia="en-US" w:bidi="ar-SA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kern w:val="0"/>
                <w:sz w:val="24"/>
                <w:szCs w:val="24"/>
                <w:lang w:val="ru-RU" w:eastAsia="en-US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чным</w:t>
            </w:r>
            <w:r>
              <w:rPr>
                <w:rFonts w:eastAsia="Times New Roman" w:cs="Times New Roman" w:ascii="Times New Roman" w:hAnsi="Times New Roman"/>
                <w:color w:val="000000"/>
                <w:spacing w:val="-14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kern w:val="0"/>
                <w:sz w:val="24"/>
                <w:szCs w:val="24"/>
                <w:lang w:val="ru-RU" w:eastAsia="en-US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ко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kern w:val="0"/>
                <w:sz w:val="24"/>
                <w:szCs w:val="24"/>
                <w:lang w:val="ru-RU" w:eastAsia="en-US" w:bidi="ar-SA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одит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kern w:val="0"/>
                <w:sz w:val="24"/>
                <w:szCs w:val="24"/>
                <w:lang w:val="ru-RU" w:eastAsia="en-US" w:bidi="ar-SA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kern w:val="0"/>
                <w:sz w:val="24"/>
                <w:szCs w:val="24"/>
                <w:lang w:val="ru-RU" w:eastAsia="en-US" w:bidi="ar-SA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-13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-12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kern w:val="0"/>
                <w:sz w:val="24"/>
                <w:szCs w:val="24"/>
                <w:lang w:val="ru-RU" w:eastAsia="en-US" w:bidi="ar-SA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kern w:val="0"/>
                <w:sz w:val="24"/>
                <w:szCs w:val="24"/>
                <w:lang w:val="ru-RU" w:eastAsia="en-US" w:bidi="ar-SA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отв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kern w:val="0"/>
                <w:sz w:val="24"/>
                <w:szCs w:val="24"/>
                <w:lang w:val="ru-RU" w:eastAsia="en-US" w:bidi="ar-SA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kern w:val="0"/>
                <w:sz w:val="24"/>
                <w:szCs w:val="24"/>
                <w:lang w:val="ru-RU" w:eastAsia="en-US" w:bidi="ar-SA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kern w:val="0"/>
                <w:sz w:val="24"/>
                <w:szCs w:val="24"/>
                <w:lang w:val="ru-RU" w:eastAsia="en-US" w:bidi="ar-SA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54"/>
                <w:kern w:val="0"/>
                <w:sz w:val="24"/>
                <w:szCs w:val="24"/>
                <w:lang w:val="ru-RU" w:eastAsia="en-US" w:bidi="ar-SA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11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kern w:val="0"/>
                <w:sz w:val="24"/>
                <w:szCs w:val="24"/>
                <w:lang w:val="ru-RU" w:eastAsia="en-US" w:bidi="ar-SA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kern w:val="0"/>
                <w:sz w:val="24"/>
                <w:szCs w:val="24"/>
                <w:lang w:val="ru-RU" w:eastAsia="en-US" w:bidi="ar-SA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kern w:val="0"/>
                <w:sz w:val="24"/>
                <w:szCs w:val="24"/>
                <w:lang w:val="ru-RU" w:eastAsia="en-US" w:bidi="ar-SA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кой</w:t>
            </w:r>
            <w:r>
              <w:rPr>
                <w:rFonts w:eastAsia="Times New Roman" w:cs="Times New Roman" w:ascii="Times New Roman" w:hAnsi="Times New Roman"/>
                <w:color w:val="000000"/>
                <w:spacing w:val="-11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kern w:val="0"/>
                <w:sz w:val="24"/>
                <w:szCs w:val="24"/>
                <w:lang w:val="ru-RU" w:eastAsia="en-US" w:bidi="ar-SA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Р</w:t>
            </w:r>
          </w:p>
        </w:tc>
        <w:tc>
          <w:tcPr>
            <w:tcW w:w="25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Заместитель директора по научной работе</w:t>
            </w:r>
          </w:p>
        </w:tc>
      </w:tr>
      <w:tr>
        <w:trPr/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До 31 мая</w:t>
            </w:r>
          </w:p>
        </w:tc>
        <w:tc>
          <w:tcPr>
            <w:tcW w:w="68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4"/>
                <w:szCs w:val="24"/>
                <w:lang w:val="ru-RU" w:eastAsia="en-US" w:bidi="ar-SA"/>
              </w:rPr>
              <w:t>Рецензенты предоставляют экспертные заключения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 xml:space="preserve"> в учебный отдел</w:t>
            </w:r>
          </w:p>
        </w:tc>
        <w:tc>
          <w:tcPr>
            <w:tcW w:w="25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Рецензенты, учебный отдел</w:t>
            </w:r>
          </w:p>
        </w:tc>
      </w:tr>
      <w:tr>
        <w:trPr/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01-08 июня</w:t>
            </w:r>
          </w:p>
        </w:tc>
        <w:tc>
          <w:tcPr>
            <w:tcW w:w="68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4"/>
                <w:szCs w:val="24"/>
                <w:lang w:val="ru-RU" w:eastAsia="en-US" w:bidi="ar-SA"/>
              </w:rPr>
              <w:t>Доработка НКР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 xml:space="preserve"> в соответствии с замечаниями рецензентов</w:t>
            </w:r>
          </w:p>
        </w:tc>
        <w:tc>
          <w:tcPr>
            <w:tcW w:w="25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Аспирант</w:t>
            </w:r>
          </w:p>
        </w:tc>
      </w:tr>
      <w:tr>
        <w:trPr/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09-10 июня</w:t>
            </w:r>
          </w:p>
        </w:tc>
        <w:tc>
          <w:tcPr>
            <w:tcW w:w="6804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149" w:leader="none"/>
                <w:tab w:val="left" w:pos="2705" w:leader="none"/>
                <w:tab w:val="left" w:pos="3160" w:leader="none"/>
                <w:tab w:val="left" w:pos="5241" w:leader="none"/>
                <w:tab w:val="left" w:pos="7009" w:leader="none"/>
                <w:tab w:val="left" w:pos="7445" w:leader="none"/>
                <w:tab w:val="left" w:pos="8299" w:leader="none"/>
              </w:tabs>
              <w:spacing w:lineRule="auto" w:line="237" w:before="0" w:after="0"/>
              <w:ind w:right="-9" w:hanging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4"/>
                <w:szCs w:val="24"/>
                <w:lang w:val="ru-RU" w:eastAsia="en-US" w:bidi="ar-SA"/>
              </w:rPr>
              <w:t>Размещение НКР в электронной библиотеке Центра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 xml:space="preserve"> (заполнение аспирантом авторского договора в 2-х экземплярах, отправка текста НКР в библиотеку: </w:t>
            </w:r>
            <w:hyperlink r:id="rId3">
              <w:r>
                <w:rPr>
                  <w:rFonts w:eastAsia="Times New Roman" w:cs="Times New Roman" w:ascii="Times New Roman" w:hAnsi="Times New Roman"/>
                  <w:kern w:val="0"/>
                  <w:sz w:val="24"/>
                  <w:szCs w:val="24"/>
                  <w:lang w:val="ru-RU" w:eastAsia="ru-RU" w:bidi="ar-SA"/>
                </w:rPr>
                <w:t>biblio@rncvto.ru</w:t>
              </w:r>
            </w:hyperlink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 xml:space="preserve">).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49" w:leader="none"/>
                <w:tab w:val="left" w:pos="2705" w:leader="none"/>
                <w:tab w:val="left" w:pos="3160" w:leader="none"/>
                <w:tab w:val="left" w:pos="5241" w:leader="none"/>
                <w:tab w:val="left" w:pos="7009" w:leader="none"/>
                <w:tab w:val="left" w:pos="7445" w:leader="none"/>
                <w:tab w:val="left" w:pos="8299" w:leader="none"/>
              </w:tabs>
              <w:spacing w:lineRule="auto" w:line="237" w:before="0" w:after="0"/>
              <w:ind w:right="-9" w:hanging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Порядок размещения НКР на сайте: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49" w:leader="none"/>
                <w:tab w:val="left" w:pos="2705" w:leader="none"/>
                <w:tab w:val="left" w:pos="3160" w:leader="none"/>
                <w:tab w:val="left" w:pos="5241" w:leader="none"/>
                <w:tab w:val="left" w:pos="7009" w:leader="none"/>
                <w:tab w:val="left" w:pos="7445" w:leader="none"/>
                <w:tab w:val="left" w:pos="8299" w:leader="none"/>
              </w:tabs>
              <w:spacing w:lineRule="auto" w:line="237" w:before="0" w:after="0"/>
              <w:ind w:right="-9" w:hanging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hyperlink r:id="rId4">
              <w:r>
                <w:rPr>
                  <w:rFonts w:eastAsia="Times New Roman" w:cs="Times New Roman" w:ascii="Times New Roman" w:hAnsi="Times New Roman"/>
                  <w:kern w:val="0"/>
                  <w:sz w:val="20"/>
                  <w:szCs w:val="20"/>
                  <w:lang w:val="ru-RU" w:eastAsia="en-US" w:bidi="ar-SA"/>
                </w:rPr>
                <w:t>http://edu.ilizarov.ru/wp-content/uploads/edudocs/polozhenie_o_poryadke_razmeschenia_textov_nkr-nd_aspirantov_i_ordinatorov_v_elektronno-bibliotechnoy_sisteme_utv__22_05_2020_g.pdf</w:t>
              </w:r>
            </w:hyperlink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</w:p>
        </w:tc>
        <w:tc>
          <w:tcPr>
            <w:tcW w:w="25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Аспирант</w:t>
            </w:r>
          </w:p>
        </w:tc>
      </w:tr>
      <w:tr>
        <w:trPr/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20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-24 июня</w:t>
            </w:r>
          </w:p>
        </w:tc>
        <w:tc>
          <w:tcPr>
            <w:tcW w:w="6804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149" w:leader="none"/>
                <w:tab w:val="left" w:pos="2705" w:leader="none"/>
                <w:tab w:val="left" w:pos="3160" w:leader="none"/>
                <w:tab w:val="left" w:pos="5241" w:leader="none"/>
                <w:tab w:val="left" w:pos="7009" w:leader="none"/>
                <w:tab w:val="left" w:pos="7445" w:leader="none"/>
                <w:tab w:val="left" w:pos="8299" w:leader="none"/>
              </w:tabs>
              <w:spacing w:lineRule="auto" w:line="237" w:before="0" w:after="0"/>
              <w:ind w:right="-9" w:hanging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 xml:space="preserve">В случае положительных рецензий 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4"/>
                <w:szCs w:val="24"/>
                <w:lang w:val="ru-RU" w:eastAsia="en-US" w:bidi="ar-SA"/>
              </w:rPr>
              <w:t>НКР подлежит заслушиванию на заседании учебного отдела.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 xml:space="preserve"> По результатам заслушивания НКР на заседании учебного отдела выносится решение о допуске аспиранта к ГИА</w:t>
            </w:r>
          </w:p>
        </w:tc>
        <w:tc>
          <w:tcPr>
            <w:tcW w:w="25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Учебный отдел, аспирант, научный руководитель</w:t>
            </w:r>
          </w:p>
        </w:tc>
      </w:tr>
      <w:tr>
        <w:trPr/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04-15 июля</w:t>
            </w:r>
          </w:p>
        </w:tc>
        <w:tc>
          <w:tcPr>
            <w:tcW w:w="68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ГИА (</w:t>
            </w: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защита НКР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, государственный экзамен)</w:t>
            </w:r>
          </w:p>
        </w:tc>
        <w:tc>
          <w:tcPr>
            <w:tcW w:w="25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Учебный отдел, аспирант, научный руководитель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type w:val="nextPage"/>
      <w:pgSz w:w="11906" w:h="16838"/>
      <w:pgMar w:left="1418" w:right="567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91dcb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6e5131"/>
    <w:rPr>
      <w:color w:val="0000FF" w:themeColor="hyperlink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Default" w:customStyle="1">
    <w:name w:val="Default"/>
    <w:qFormat/>
    <w:rsid w:val="00775b1f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kern w:val="0"/>
      <w:sz w:val="24"/>
      <w:szCs w:val="24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b3d5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edu.ilizarov.ru/wp-content/uploads/edudocs/metodicheskie_rekomendatsii_o_podgotovke_nauchno-kvalifikatsionnoy_raboty_aspiranta_utv_06_04_2020_g.pdf" TargetMode="External"/><Relationship Id="rId3" Type="http://schemas.openxmlformats.org/officeDocument/2006/relationships/hyperlink" Target="mailto:biblio@rncvto.ru" TargetMode="External"/><Relationship Id="rId4" Type="http://schemas.openxmlformats.org/officeDocument/2006/relationships/hyperlink" Target="http://edu.ilizarov.ru/wp-content/uploads/edudocs/polozhenie_o_poryadke_razmeschenia_textov_nkr-nd_aspirantov_i_ordinatorov_v_elektronno-bibliotechnoy_sisteme_utv__22_05_2020_g.pdf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LibreOffice/7.2.3.2$Windows_X86_64 LibreOffice_project/d166454616c1632304285822f9c83ce2e660fd92</Application>
  <AppVersion>15.0000</AppVersion>
  <Pages>1</Pages>
  <Words>187</Words>
  <Characters>1581</Characters>
  <CharactersWithSpaces>1746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2021-08-30T04:25:00Z</dcterms:created>
  <dc:creator>User</dc:creator>
  <dc:description/>
  <dc:language>ru-RU</dc:language>
  <cp:lastModifiedBy/>
  <cp:lastPrinted>2021-01-26T06:21:00Z</cp:lastPrinted>
  <dcterms:modified xsi:type="dcterms:W3CDTF">2022-01-11T12:56:32Z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